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Default="00810DA5">
      <w:pPr>
        <w:spacing w:after="9" w:line="271" w:lineRule="auto"/>
        <w:ind w:left="668" w:right="6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Default="00B7239B">
      <w:pPr>
        <w:spacing w:after="1" w:line="267" w:lineRule="auto"/>
        <w:ind w:left="18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555EB9" w:rsidRPr="00555EB9" w:rsidRDefault="00F47C62" w:rsidP="00555EB9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55EB9" w:rsidRPr="00555EB9">
        <w:rPr>
          <w:rFonts w:ascii="Times New Roman" w:eastAsia="Times New Roman" w:hAnsi="Times New Roman" w:cs="Times New Roman"/>
          <w:b/>
          <w:sz w:val="24"/>
        </w:rPr>
        <w:t>Постановление администрации Рамонского муниципального района от 16.04.2024 № 152</w:t>
      </w:r>
    </w:p>
    <w:p w:rsidR="00555EB9" w:rsidRDefault="00555EB9" w:rsidP="00555EB9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55EB9">
        <w:rPr>
          <w:rFonts w:ascii="Times New Roman" w:eastAsia="Times New Roman" w:hAnsi="Times New Roman" w:cs="Times New Roman"/>
          <w:b/>
          <w:sz w:val="24"/>
        </w:rPr>
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7A09F2" w:rsidRDefault="00810DA5" w:rsidP="00555EB9">
      <w:pPr>
        <w:spacing w:after="17"/>
        <w:ind w:left="709"/>
        <w:jc w:val="center"/>
      </w:pPr>
      <w:r w:rsidRPr="00810D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Default="00B7239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555EB9">
        <w:rPr>
          <w:rFonts w:ascii="Times New Roman" w:eastAsia="Times New Roman" w:hAnsi="Times New Roman" w:cs="Times New Roman"/>
          <w:sz w:val="24"/>
        </w:rPr>
        <w:t>начало: «17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 w:rsidR="00555EB9">
        <w:rPr>
          <w:rFonts w:ascii="Times New Roman" w:eastAsia="Times New Roman" w:hAnsi="Times New Roman" w:cs="Times New Roman"/>
          <w:sz w:val="24"/>
        </w:rPr>
        <w:t>апреля</w:t>
      </w:r>
      <w:r w:rsidR="00CB2277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Default="00555EB9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«07</w:t>
      </w:r>
      <w:r w:rsidR="00E41722">
        <w:rPr>
          <w:rFonts w:ascii="Times New Roman" w:eastAsia="Times New Roman" w:hAnsi="Times New Roman" w:cs="Times New Roman"/>
          <w:sz w:val="24"/>
        </w:rPr>
        <w:t xml:space="preserve">» </w:t>
      </w:r>
      <w:r>
        <w:rPr>
          <w:rFonts w:ascii="Times New Roman" w:eastAsia="Times New Roman" w:hAnsi="Times New Roman" w:cs="Times New Roman"/>
          <w:sz w:val="24"/>
        </w:rPr>
        <w:t>мая</w:t>
      </w:r>
      <w:r w:rsidR="00E8750C">
        <w:rPr>
          <w:rFonts w:ascii="Times New Roman" w:eastAsia="Times New Roman" w:hAnsi="Times New Roman" w:cs="Times New Roman"/>
          <w:sz w:val="24"/>
        </w:rPr>
        <w:t xml:space="preserve"> 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ind w:left="381" w:right="3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10DA5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Default="00810DA5" w:rsidP="00810DA5">
            <w:r w:rsidRPr="00810DA5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20D" w:rsidRPr="003E720D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20D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3E720D">
              <w:rPr>
                <w:rFonts w:ascii="Times New Roman" w:eastAsia="Times New Roman" w:hAnsi="Times New Roman" w:cs="Times New Roman"/>
                <w:sz w:val="24"/>
              </w:rPr>
              <w:t xml:space="preserve"> постановление регулирует отношения, возникающие в связи с предоставлением </w:t>
            </w:r>
            <w:r w:rsidR="003E720D" w:rsidRPr="003E720D">
              <w:rPr>
                <w:rFonts w:ascii="Times New Roman" w:eastAsia="Times New Roman" w:hAnsi="Times New Roman" w:cs="Times New Roman"/>
                <w:sz w:val="24"/>
              </w:rPr>
              <w:t>муниципальной услуги физическим и юридическим лицам</w:t>
            </w:r>
          </w:p>
          <w:p w:rsidR="007A09F2" w:rsidRPr="003E720D" w:rsidRDefault="00B7239B" w:rsidP="00204E9E">
            <w:pPr>
              <w:ind w:right="59"/>
              <w:jc w:val="center"/>
            </w:pPr>
            <w:r w:rsidRPr="003E720D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20D" w:rsidRPr="003E720D" w:rsidRDefault="00B7239B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E720D"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 w:rsidRPr="003E72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B4852" w:rsidRPr="003E720D">
              <w:rPr>
                <w:rFonts w:ascii="Times New Roman" w:eastAsia="Times New Roman" w:hAnsi="Times New Roman" w:cs="Times New Roman"/>
                <w:sz w:val="24"/>
              </w:rPr>
              <w:t xml:space="preserve">повышение качества </w:t>
            </w:r>
            <w:r w:rsidR="003E720D" w:rsidRPr="003E720D">
              <w:rPr>
                <w:rFonts w:ascii="Times New Roman" w:eastAsia="Times New Roman" w:hAnsi="Times New Roman" w:cs="Times New Roman"/>
                <w:sz w:val="24"/>
              </w:rPr>
              <w:t>предоставления муниципальной услуги</w:t>
            </w:r>
          </w:p>
          <w:p w:rsidR="003E720D" w:rsidRPr="003E720D" w:rsidRDefault="003E720D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A09F2" w:rsidRPr="003E720D" w:rsidRDefault="003E720D">
            <w:pPr>
              <w:ind w:right="64"/>
              <w:jc w:val="center"/>
            </w:pPr>
            <w:r w:rsidRPr="003E720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 w:rsidRPr="003E720D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  <w:bookmarkStart w:id="0" w:name="_GoBack"/>
            <w:bookmarkEnd w:id="0"/>
          </w:p>
        </w:tc>
      </w:tr>
      <w:tr w:rsidR="007A09F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Default="00B7239B" w:rsidP="00204E9E">
            <w:pPr>
              <w:spacing w:after="2" w:line="276" w:lineRule="auto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50" w:line="235" w:lineRule="auto"/>
              <w:ind w:firstLine="7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Default="00B7239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Default="00B7239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Default="00B7239B">
      <w:pPr>
        <w:spacing w:after="5" w:line="269" w:lineRule="auto"/>
        <w:ind w:left="162" w:right="14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43" w:line="242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Default="00B7239B">
            <w:r>
              <w:rPr>
                <w:rFonts w:ascii="Arial" w:eastAsia="Arial" w:hAnsi="Arial" w:cs="Arial"/>
                <w:i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Default="00B7239B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" w:line="276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 w:rsidP="00372885">
            <w:pPr>
              <w:ind w:left="2"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</w:t>
            </w:r>
            <w:r w:rsidR="00372885">
              <w:rPr>
                <w:rFonts w:ascii="Times New Roman" w:eastAsia="Times New Roman" w:hAnsi="Times New Roman" w:cs="Times New Roman"/>
                <w:b/>
                <w:sz w:val="24"/>
              </w:rPr>
              <w:t>ного нормативного правового акта – отдел экономического развития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Default="00B7239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555EB9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08/05</w:t>
      </w:r>
      <w:r w:rsidR="002B4852">
        <w:rPr>
          <w:rFonts w:ascii="Times New Roman" w:eastAsia="Times New Roman" w:hAnsi="Times New Roman" w:cs="Times New Roman"/>
          <w:sz w:val="24"/>
        </w:rPr>
        <w:t>/2024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239B" w:rsidRPr="00092D1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Говорова Л.М.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72885"/>
    <w:rsid w:val="003E720D"/>
    <w:rsid w:val="00555EB9"/>
    <w:rsid w:val="0077661E"/>
    <w:rsid w:val="007A09F2"/>
    <w:rsid w:val="00810DA5"/>
    <w:rsid w:val="00AB3ECD"/>
    <w:rsid w:val="00B7239B"/>
    <w:rsid w:val="00CB2277"/>
    <w:rsid w:val="00D564B0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6A47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User</cp:lastModifiedBy>
  <cp:revision>13</cp:revision>
  <dcterms:created xsi:type="dcterms:W3CDTF">2024-03-22T10:33:00Z</dcterms:created>
  <dcterms:modified xsi:type="dcterms:W3CDTF">2024-10-24T13:11:00Z</dcterms:modified>
</cp:coreProperties>
</file>