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Pr>
          <w:b/>
          <w:sz w:val="28"/>
          <w:szCs w:val="28"/>
        </w:rPr>
        <w:t xml:space="preserve">от 31.01.2020 № 15 </w:t>
      </w:r>
      <w:r w:rsidRPr="005C5737">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C37112">
        <w:rPr>
          <w:sz w:val="28"/>
          <w:szCs w:val="28"/>
        </w:rPr>
        <w:t xml:space="preserve">от 31.01.2020 № 15 </w:t>
      </w:r>
      <w:r w:rsidR="00C37112" w:rsidRPr="00C37112">
        <w:rPr>
          <w:sz w:val="28"/>
          <w:szCs w:val="28"/>
        </w:rPr>
        <w:t xml:space="preserve">«О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277</w:t>
      </w:r>
      <w:r w:rsidR="006E04A0" w:rsidRPr="00C041DC">
        <w:rPr>
          <w:sz w:val="28"/>
          <w:szCs w:val="28"/>
        </w:rPr>
        <w:t xml:space="preserve"> «</w:t>
      </w:r>
      <w:r w:rsidR="00C37112">
        <w:rPr>
          <w:sz w:val="28"/>
          <w:szCs w:val="28"/>
        </w:rPr>
        <w:t xml:space="preserve">Об утверждении Порядка разработки, реализации и оценки эффективности муниципальных программ </w:t>
      </w:r>
      <w:r w:rsidR="00C37112" w:rsidRPr="00C37112">
        <w:rPr>
          <w:sz w:val="28"/>
          <w:szCs w:val="28"/>
        </w:rPr>
        <w:t>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261-р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C041DC">
        <w:rPr>
          <w:rFonts w:ascii="Times New Roman" w:hAnsi="Times New Roman" w:cs="Times New Roman"/>
          <w:sz w:val="28"/>
          <w:szCs w:val="28"/>
        </w:rPr>
        <w:lastRenderedPageBreak/>
        <w:t>являются:</w:t>
      </w:r>
      <w:r w:rsidR="007A0699">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объема инвестиций в основной капитал (за исключением бюджетных средств) в расчете н</w:t>
      </w:r>
      <w:r w:rsidR="006A7C23">
        <w:rPr>
          <w:rFonts w:ascii="Times New Roman" w:hAnsi="Times New Roman" w:cs="Times New Roman"/>
          <w:sz w:val="28"/>
          <w:szCs w:val="28"/>
        </w:rPr>
        <w:t xml:space="preserve">а 1 жителя до 10,5 тыс. рублей; </w:t>
      </w:r>
      <w:r w:rsidR="006A7C23" w:rsidRPr="006A7C23">
        <w:rPr>
          <w:rFonts w:ascii="Times New Roman" w:hAnsi="Times New Roman" w:cs="Times New Roman"/>
          <w:sz w:val="28"/>
          <w:szCs w:val="28"/>
        </w:rPr>
        <w:t>увеличение среднегодовой численности постоянного населения до 36,7 тыс. чел.;</w:t>
      </w:r>
      <w:r w:rsidR="006A7C23">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среднемесячной номинальной начисленной заработной платы работников крупных и средних предприятий и некоммерчески</w:t>
      </w:r>
      <w:r w:rsidR="006A7C23">
        <w:rPr>
          <w:rFonts w:ascii="Times New Roman" w:hAnsi="Times New Roman" w:cs="Times New Roman"/>
          <w:sz w:val="28"/>
          <w:szCs w:val="28"/>
        </w:rPr>
        <w:t xml:space="preserve">х организаций до 45 тыс. рублей; </w:t>
      </w:r>
      <w:r w:rsidR="006A7C23" w:rsidRPr="006A7C23">
        <w:rPr>
          <w:rFonts w:ascii="Times New Roman" w:hAnsi="Times New Roman" w:cs="Times New Roman"/>
          <w:sz w:val="28"/>
          <w:szCs w:val="28"/>
        </w:rPr>
        <w:t>повышение к</w:t>
      </w:r>
      <w:r w:rsidR="006A7C23">
        <w:rPr>
          <w:rFonts w:ascii="Times New Roman" w:hAnsi="Times New Roman" w:cs="Times New Roman"/>
          <w:sz w:val="28"/>
          <w:szCs w:val="28"/>
        </w:rPr>
        <w:t xml:space="preserve">ачества жизни населения района; </w:t>
      </w:r>
      <w:r w:rsidR="006A7C23" w:rsidRPr="006A7C23">
        <w:rPr>
          <w:rFonts w:ascii="Times New Roman" w:hAnsi="Times New Roman" w:cs="Times New Roman"/>
          <w:sz w:val="28"/>
          <w:szCs w:val="28"/>
        </w:rPr>
        <w:t>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91A3D">
      <w:pPr>
        <w:pStyle w:val="11"/>
        <w:spacing w:line="360" w:lineRule="auto"/>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A6660F" w:rsidRPr="00891A3D">
        <w:rPr>
          <w:sz w:val="28"/>
          <w:szCs w:val="28"/>
        </w:rPr>
        <w:t>Постановление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lastRenderedPageBreak/>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347E25" w:rsidRPr="0011115C" w:rsidRDefault="00101FFE" w:rsidP="0011115C">
      <w:pPr>
        <w:pStyle w:val="Default"/>
        <w:spacing w:line="276" w:lineRule="auto"/>
        <w:rPr>
          <w:sz w:val="28"/>
          <w:szCs w:val="28"/>
        </w:rPr>
      </w:pPr>
      <w:r w:rsidRPr="0011115C">
        <w:rPr>
          <w:sz w:val="28"/>
          <w:szCs w:val="28"/>
        </w:rPr>
        <w:t xml:space="preserve">Начальник </w:t>
      </w:r>
    </w:p>
    <w:p w:rsidR="00891A3D" w:rsidRDefault="00101FFE" w:rsidP="00891A3D">
      <w:pPr>
        <w:pStyle w:val="Default"/>
        <w:spacing w:line="276" w:lineRule="auto"/>
        <w:rPr>
          <w:sz w:val="28"/>
          <w:szCs w:val="28"/>
        </w:rPr>
      </w:pPr>
      <w:r w:rsidRPr="0011115C">
        <w:rPr>
          <w:sz w:val="28"/>
          <w:szCs w:val="28"/>
        </w:rPr>
        <w:t>отдела экономики</w:t>
      </w:r>
      <w:r w:rsidR="00891A3D">
        <w:rPr>
          <w:sz w:val="28"/>
          <w:szCs w:val="28"/>
        </w:rPr>
        <w:t>, проектной деятельности</w:t>
      </w:r>
    </w:p>
    <w:p w:rsidR="00891A3D" w:rsidRDefault="00891A3D" w:rsidP="00891A3D">
      <w:pPr>
        <w:pStyle w:val="Default"/>
        <w:spacing w:line="276" w:lineRule="auto"/>
        <w:rPr>
          <w:sz w:val="28"/>
          <w:szCs w:val="28"/>
        </w:rPr>
      </w:pPr>
      <w:r>
        <w:rPr>
          <w:sz w:val="28"/>
          <w:szCs w:val="28"/>
        </w:rPr>
        <w:t xml:space="preserve">и прогнозирования администрации </w:t>
      </w:r>
    </w:p>
    <w:p w:rsidR="00891A3D" w:rsidRPr="0011115C" w:rsidRDefault="00891A3D" w:rsidP="00891A3D">
      <w:pPr>
        <w:pStyle w:val="Default"/>
        <w:spacing w:line="276" w:lineRule="auto"/>
        <w:rPr>
          <w:sz w:val="28"/>
          <w:szCs w:val="28"/>
        </w:rPr>
      </w:pPr>
      <w:r>
        <w:rPr>
          <w:sz w:val="28"/>
          <w:szCs w:val="28"/>
        </w:rPr>
        <w:t>муниципального района                                                                      И.И. Попова</w:t>
      </w:r>
    </w:p>
    <w:p w:rsidR="00AF2595" w:rsidRPr="00347E25" w:rsidRDefault="00AF2595" w:rsidP="0011115C">
      <w:pPr>
        <w:pStyle w:val="Default"/>
        <w:spacing w:line="276" w:lineRule="auto"/>
        <w:rPr>
          <w:sz w:val="28"/>
          <w:szCs w:val="28"/>
        </w:rPr>
      </w:pPr>
      <w:bookmarkStart w:id="1" w:name="_GoBack"/>
      <w:bookmarkEnd w:id="1"/>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20A55"/>
    <w:rsid w:val="00763616"/>
    <w:rsid w:val="0078686B"/>
    <w:rsid w:val="007A0699"/>
    <w:rsid w:val="007D16E3"/>
    <w:rsid w:val="007E3B7E"/>
    <w:rsid w:val="0080572D"/>
    <w:rsid w:val="00810F9A"/>
    <w:rsid w:val="00822BA3"/>
    <w:rsid w:val="00833643"/>
    <w:rsid w:val="00861439"/>
    <w:rsid w:val="008904B8"/>
    <w:rsid w:val="00891A3D"/>
    <w:rsid w:val="00897EA3"/>
    <w:rsid w:val="008A1018"/>
    <w:rsid w:val="008C443D"/>
    <w:rsid w:val="008D01F9"/>
    <w:rsid w:val="008D50E0"/>
    <w:rsid w:val="00914526"/>
    <w:rsid w:val="00931249"/>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C041DC"/>
    <w:rsid w:val="00C37112"/>
    <w:rsid w:val="00C476F9"/>
    <w:rsid w:val="00C5604D"/>
    <w:rsid w:val="00C75F66"/>
    <w:rsid w:val="00C76BC0"/>
    <w:rsid w:val="00CD2840"/>
    <w:rsid w:val="00CD4685"/>
    <w:rsid w:val="00D52A55"/>
    <w:rsid w:val="00D55353"/>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CBE1"/>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TotalTime>
  <Pages>4</Pages>
  <Words>892</Words>
  <Characters>5085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Бердникова Елена Н.</cp:lastModifiedBy>
  <cp:revision>61</cp:revision>
  <cp:lastPrinted>2018-12-17T12:05:00Z</cp:lastPrinted>
  <dcterms:created xsi:type="dcterms:W3CDTF">2015-12-11T11:29:00Z</dcterms:created>
  <dcterms:modified xsi:type="dcterms:W3CDTF">2020-04-23T07:08:00Z</dcterms:modified>
</cp:coreProperties>
</file>