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02DB3" w:rsidRDefault="00AF2595" w:rsidP="00AF2595">
      <w:pPr>
        <w:spacing w:line="360" w:lineRule="auto"/>
        <w:ind w:left="-28"/>
        <w:jc w:val="center"/>
        <w:rPr>
          <w:b/>
          <w:sz w:val="28"/>
          <w:szCs w:val="28"/>
        </w:rPr>
      </w:pPr>
      <w:r w:rsidRPr="00102DB3">
        <w:rPr>
          <w:b/>
          <w:sz w:val="28"/>
          <w:szCs w:val="28"/>
        </w:rPr>
        <w:t>ПОЯСНИТЕЛЬНАЯ ЗАПИСКА</w:t>
      </w:r>
    </w:p>
    <w:p w:rsidR="00AF2595" w:rsidRDefault="005C5737" w:rsidP="00102DB3">
      <w:pPr>
        <w:jc w:val="both"/>
        <w:rPr>
          <w:b/>
          <w:sz w:val="28"/>
          <w:szCs w:val="28"/>
        </w:rPr>
      </w:pPr>
      <w:r w:rsidRPr="00C041DC">
        <w:rPr>
          <w:b/>
          <w:sz w:val="28"/>
          <w:szCs w:val="28"/>
        </w:rPr>
        <w:t>к постановлению</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sidR="00094EE0" w:rsidRPr="00094EE0">
        <w:rPr>
          <w:b/>
          <w:sz w:val="28"/>
          <w:szCs w:val="28"/>
        </w:rPr>
        <w:t>от 07.11.2022 № 456 «О внесении изменения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5C5737">
        <w:rPr>
          <w:sz w:val="28"/>
          <w:szCs w:val="28"/>
        </w:rPr>
        <w:t>П</w:t>
      </w:r>
      <w:r w:rsidR="00AF2595" w:rsidRPr="00C041DC">
        <w:rPr>
          <w:sz w:val="28"/>
          <w:szCs w:val="28"/>
        </w:rPr>
        <w:t>остановлени</w:t>
      </w:r>
      <w:r w:rsidR="005C5737">
        <w:rPr>
          <w:sz w:val="28"/>
          <w:szCs w:val="28"/>
        </w:rPr>
        <w:t>е</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094EE0" w:rsidRPr="00094EE0">
        <w:rPr>
          <w:sz w:val="28"/>
          <w:szCs w:val="28"/>
        </w:rPr>
        <w:t>от 07.11.2022 № 456 «О внесении изменения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00C37112" w:rsidRPr="00C37112">
        <w:rPr>
          <w:sz w:val="28"/>
          <w:szCs w:val="28"/>
        </w:rPr>
        <w:t xml:space="preserve"> </w:t>
      </w:r>
      <w:r w:rsidR="005C5737" w:rsidRPr="00C041DC">
        <w:rPr>
          <w:sz w:val="28"/>
          <w:szCs w:val="28"/>
        </w:rPr>
        <w:t>(далее</w:t>
      </w:r>
      <w:r w:rsidR="005C5737">
        <w:rPr>
          <w:sz w:val="28"/>
          <w:szCs w:val="28"/>
        </w:rPr>
        <w:t xml:space="preserve"> </w:t>
      </w:r>
      <w:r w:rsidR="005C5737" w:rsidRPr="00C041DC">
        <w:rPr>
          <w:sz w:val="28"/>
          <w:szCs w:val="28"/>
        </w:rPr>
        <w:t xml:space="preserve">- </w:t>
      </w:r>
      <w:r w:rsidR="00C37112">
        <w:rPr>
          <w:sz w:val="28"/>
          <w:szCs w:val="28"/>
        </w:rPr>
        <w:t>П</w:t>
      </w:r>
      <w:r w:rsidR="005C5737" w:rsidRPr="00C041DC">
        <w:rPr>
          <w:sz w:val="28"/>
          <w:szCs w:val="28"/>
        </w:rPr>
        <w:t>остановление)</w:t>
      </w:r>
      <w:r w:rsidR="00C37112">
        <w:rPr>
          <w:sz w:val="28"/>
          <w:szCs w:val="28"/>
        </w:rPr>
        <w:t xml:space="preserve"> </w:t>
      </w:r>
      <w:r w:rsidR="00AF2595" w:rsidRPr="00C041DC">
        <w:rPr>
          <w:sz w:val="28"/>
          <w:szCs w:val="28"/>
        </w:rPr>
        <w:t>разработан</w:t>
      </w:r>
      <w:r w:rsidR="00C37112">
        <w:rPr>
          <w:sz w:val="28"/>
          <w:szCs w:val="28"/>
        </w:rPr>
        <w:t>о</w:t>
      </w:r>
      <w:r w:rsidR="00AF2595" w:rsidRPr="00C041DC">
        <w:rPr>
          <w:sz w:val="28"/>
          <w:szCs w:val="28"/>
        </w:rPr>
        <w:t xml:space="preserve">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277</w:t>
      </w:r>
      <w:r w:rsidR="006E04A0" w:rsidRPr="00C041DC">
        <w:rPr>
          <w:sz w:val="28"/>
          <w:szCs w:val="28"/>
        </w:rPr>
        <w:t xml:space="preserve"> «</w:t>
      </w:r>
      <w:r w:rsidR="00C37112">
        <w:rPr>
          <w:sz w:val="28"/>
          <w:szCs w:val="28"/>
        </w:rPr>
        <w:t xml:space="preserve">Об утверждении Порядка разработки, реализации и оценки эффективности муниципальных программ </w:t>
      </w:r>
      <w:r w:rsidR="00C37112" w:rsidRPr="00C37112">
        <w:rPr>
          <w:sz w:val="28"/>
          <w:szCs w:val="28"/>
        </w:rPr>
        <w:t>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261-р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 xml:space="preserve">овышение предпринимательской активности и развитие </w:t>
      </w:r>
      <w:r w:rsidR="00C37112" w:rsidRPr="00C37112">
        <w:rPr>
          <w:sz w:val="28"/>
          <w:szCs w:val="28"/>
        </w:rPr>
        <w:lastRenderedPageBreak/>
        <w:t>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C37112">
        <w:rPr>
          <w:szCs w:val="28"/>
        </w:rPr>
        <w:t>постановлении</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0" w:name="sub_12024"/>
      <w:r w:rsidR="007D16E3" w:rsidRPr="00C041DC">
        <w:rPr>
          <w:szCs w:val="28"/>
        </w:rPr>
        <w:t xml:space="preserve"> </w:t>
      </w:r>
      <w:bookmarkEnd w:id="0"/>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D55353">
        <w:rPr>
          <w:sz w:val="28"/>
          <w:szCs w:val="28"/>
        </w:rPr>
        <w:t>Постановлении</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C96F78" w:rsidRDefault="00C96F78" w:rsidP="00891A3D">
      <w:pPr>
        <w:pStyle w:val="a4"/>
        <w:spacing w:line="360" w:lineRule="auto"/>
        <w:ind w:firstLine="709"/>
        <w:jc w:val="both"/>
        <w:rPr>
          <w:rFonts w:ascii="Times New Roman" w:hAnsi="Times New Roman" w:cs="Times New Roman"/>
          <w:sz w:val="28"/>
          <w:szCs w:val="28"/>
        </w:rPr>
      </w:pPr>
      <w:r w:rsidRPr="00C96F78">
        <w:rPr>
          <w:rFonts w:ascii="Times New Roman" w:hAnsi="Times New Roman" w:cs="Times New Roman"/>
          <w:sz w:val="28"/>
          <w:szCs w:val="28"/>
        </w:rPr>
        <w:t xml:space="preserve">Основными ожидаемыми конечными результатами программы являются: увеличение объема инвестиций в основной капитал (за исключением бюджетных средств) в расчете на душу населения до 22,9 тыс. </w:t>
      </w:r>
      <w:r w:rsidRPr="00C96F78">
        <w:rPr>
          <w:rFonts w:ascii="Times New Roman" w:hAnsi="Times New Roman" w:cs="Times New Roman"/>
          <w:sz w:val="28"/>
          <w:szCs w:val="28"/>
        </w:rPr>
        <w:lastRenderedPageBreak/>
        <w:t>рублей; увеличение среднегодовой численности постоянного населения до 39,2 тыс. чел.; увеличение среднемесячной номинальной начисленной заработной платы работников крупных и средних предприятий и некоммерческих организаций до 64 тыс. рублей; повышение качества жизни населения района; 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bookmarkStart w:id="1" w:name="_GoBack"/>
      <w:bookmarkEnd w:id="1"/>
      <w:r w:rsidRPr="006A7C23">
        <w:rPr>
          <w:rFonts w:ascii="Times New Roman" w:hAnsi="Times New Roman" w:cs="Times New Roman"/>
          <w:sz w:val="28"/>
          <w:szCs w:val="28"/>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w:t>
      </w:r>
      <w:r w:rsidR="005A47A3">
        <w:rPr>
          <w:rFonts w:ascii="Times New Roman" w:hAnsi="Times New Roman" w:cs="Times New Roman"/>
          <w:sz w:val="28"/>
          <w:szCs w:val="28"/>
        </w:rPr>
        <w:t xml:space="preserve">ьтатов настоящей муниципальной </w:t>
      </w:r>
      <w:r w:rsidRPr="006A7C23">
        <w:rPr>
          <w:rFonts w:ascii="Times New Roman" w:hAnsi="Times New Roman" w:cs="Times New Roman"/>
          <w:sz w:val="28"/>
          <w:szCs w:val="28"/>
        </w:rPr>
        <w:t>программы.</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C27D4F" w:rsidRDefault="00891A3D" w:rsidP="00C27D4F">
      <w:pPr>
        <w:pStyle w:val="11"/>
        <w:spacing w:line="360" w:lineRule="auto"/>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C27D4F" w:rsidRDefault="008C443D" w:rsidP="00C27D4F">
      <w:pPr>
        <w:pStyle w:val="11"/>
        <w:spacing w:line="360" w:lineRule="auto"/>
        <w:ind w:firstLine="851"/>
        <w:jc w:val="both"/>
        <w:rPr>
          <w:rFonts w:ascii="Times New Roman" w:hAnsi="Times New Roman" w:cs="Times New Roman"/>
          <w:sz w:val="28"/>
          <w:szCs w:val="28"/>
        </w:rPr>
      </w:pPr>
      <w:r w:rsidRPr="00C27D4F">
        <w:rPr>
          <w:rFonts w:ascii="Times New Roman" w:hAnsi="Times New Roman" w:cs="Times New Roman"/>
          <w:sz w:val="28"/>
          <w:szCs w:val="28"/>
        </w:rPr>
        <w:t xml:space="preserve">Предлагаемым правовым регулированием затронуты субъекты предпринимательской и инвестиционной деятельности. Постановление не предполагает введение каких-либо исключений </w:t>
      </w:r>
      <w:r w:rsidR="00AF2595" w:rsidRPr="00C27D4F">
        <w:rPr>
          <w:rFonts w:ascii="Times New Roman" w:hAnsi="Times New Roman" w:cs="Times New Roman"/>
          <w:sz w:val="28"/>
          <w:szCs w:val="28"/>
        </w:rPr>
        <w:t>в отношении отдельных групп лиц.</w:t>
      </w:r>
    </w:p>
    <w:p w:rsidR="00C27D4F" w:rsidRDefault="00AF2595" w:rsidP="00C27D4F">
      <w:pPr>
        <w:pStyle w:val="11"/>
        <w:spacing w:line="360" w:lineRule="auto"/>
        <w:ind w:firstLine="851"/>
        <w:jc w:val="both"/>
        <w:rPr>
          <w:rFonts w:ascii="Times New Roman" w:hAnsi="Times New Roman" w:cs="Times New Roman"/>
          <w:sz w:val="28"/>
          <w:szCs w:val="28"/>
        </w:rPr>
      </w:pPr>
      <w:r w:rsidRPr="00C27D4F">
        <w:rPr>
          <w:rFonts w:ascii="Times New Roman" w:hAnsi="Times New Roman" w:cs="Times New Roman"/>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C27D4F" w:rsidRDefault="00A6660F" w:rsidP="00C27D4F">
      <w:pPr>
        <w:spacing w:line="360" w:lineRule="auto"/>
        <w:ind w:firstLine="851"/>
        <w:jc w:val="both"/>
        <w:rPr>
          <w:sz w:val="28"/>
          <w:szCs w:val="28"/>
        </w:rPr>
      </w:pPr>
      <w:r w:rsidRPr="00C27D4F">
        <w:rPr>
          <w:sz w:val="28"/>
          <w:szCs w:val="28"/>
        </w:rPr>
        <w:t>Постановление способствует</w:t>
      </w:r>
      <w:r w:rsidR="00AF2595" w:rsidRPr="00C27D4F">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lastRenderedPageBreak/>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347E25" w:rsidRDefault="00AF2595" w:rsidP="0011115C">
      <w:pPr>
        <w:pStyle w:val="Default"/>
        <w:spacing w:line="276" w:lineRule="auto"/>
        <w:rPr>
          <w:sz w:val="28"/>
          <w:szCs w:val="28"/>
        </w:rPr>
      </w:pPr>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A3"/>
    <w:rsid w:val="00015F77"/>
    <w:rsid w:val="00031924"/>
    <w:rsid w:val="00034AE9"/>
    <w:rsid w:val="00055391"/>
    <w:rsid w:val="00067327"/>
    <w:rsid w:val="00094EE0"/>
    <w:rsid w:val="000B7941"/>
    <w:rsid w:val="000F3CDD"/>
    <w:rsid w:val="000F749C"/>
    <w:rsid w:val="0010002C"/>
    <w:rsid w:val="00101FFE"/>
    <w:rsid w:val="00102DB3"/>
    <w:rsid w:val="00103552"/>
    <w:rsid w:val="00104D00"/>
    <w:rsid w:val="0011115C"/>
    <w:rsid w:val="00136A4F"/>
    <w:rsid w:val="001402F4"/>
    <w:rsid w:val="00156351"/>
    <w:rsid w:val="00160E68"/>
    <w:rsid w:val="001626D5"/>
    <w:rsid w:val="00182A03"/>
    <w:rsid w:val="001978BA"/>
    <w:rsid w:val="001A6170"/>
    <w:rsid w:val="001B3979"/>
    <w:rsid w:val="00270A7B"/>
    <w:rsid w:val="00293C09"/>
    <w:rsid w:val="002A0663"/>
    <w:rsid w:val="002A5519"/>
    <w:rsid w:val="00334FC6"/>
    <w:rsid w:val="00347E25"/>
    <w:rsid w:val="00362DA4"/>
    <w:rsid w:val="003B3C2E"/>
    <w:rsid w:val="003E266C"/>
    <w:rsid w:val="004012E8"/>
    <w:rsid w:val="00406535"/>
    <w:rsid w:val="004172C1"/>
    <w:rsid w:val="00442DF1"/>
    <w:rsid w:val="004D104F"/>
    <w:rsid w:val="00500A60"/>
    <w:rsid w:val="00545233"/>
    <w:rsid w:val="005463A2"/>
    <w:rsid w:val="00566710"/>
    <w:rsid w:val="005A47A3"/>
    <w:rsid w:val="005C224D"/>
    <w:rsid w:val="005C5737"/>
    <w:rsid w:val="005F35D4"/>
    <w:rsid w:val="00610AD4"/>
    <w:rsid w:val="006368C3"/>
    <w:rsid w:val="00642FB9"/>
    <w:rsid w:val="00684859"/>
    <w:rsid w:val="006A7C23"/>
    <w:rsid w:val="006D1B1F"/>
    <w:rsid w:val="006E04A0"/>
    <w:rsid w:val="006E116E"/>
    <w:rsid w:val="007067AA"/>
    <w:rsid w:val="00720A55"/>
    <w:rsid w:val="00763616"/>
    <w:rsid w:val="0078686B"/>
    <w:rsid w:val="007A0699"/>
    <w:rsid w:val="007D16E3"/>
    <w:rsid w:val="007E3B7E"/>
    <w:rsid w:val="0080572D"/>
    <w:rsid w:val="00810F9A"/>
    <w:rsid w:val="00822BA3"/>
    <w:rsid w:val="00833643"/>
    <w:rsid w:val="00861439"/>
    <w:rsid w:val="008904B8"/>
    <w:rsid w:val="00891A3D"/>
    <w:rsid w:val="00897EA3"/>
    <w:rsid w:val="008A1018"/>
    <w:rsid w:val="008C443D"/>
    <w:rsid w:val="008D01F9"/>
    <w:rsid w:val="008D50E0"/>
    <w:rsid w:val="00914526"/>
    <w:rsid w:val="00931249"/>
    <w:rsid w:val="00944369"/>
    <w:rsid w:val="0095528E"/>
    <w:rsid w:val="009A7E19"/>
    <w:rsid w:val="009D6315"/>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B90ED3"/>
    <w:rsid w:val="00C041DC"/>
    <w:rsid w:val="00C27D4F"/>
    <w:rsid w:val="00C37112"/>
    <w:rsid w:val="00C476F9"/>
    <w:rsid w:val="00C5604D"/>
    <w:rsid w:val="00C75F66"/>
    <w:rsid w:val="00C76BC0"/>
    <w:rsid w:val="00C96F78"/>
    <w:rsid w:val="00CD2840"/>
    <w:rsid w:val="00CD4685"/>
    <w:rsid w:val="00D23E39"/>
    <w:rsid w:val="00D52A55"/>
    <w:rsid w:val="00D55353"/>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5D13"/>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4</Pages>
  <Words>862</Words>
  <Characters>4918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Бердникова Елена Н.</cp:lastModifiedBy>
  <cp:revision>8</cp:revision>
  <cp:lastPrinted>2018-12-17T12:05:00Z</cp:lastPrinted>
  <dcterms:created xsi:type="dcterms:W3CDTF">2021-09-09T11:50:00Z</dcterms:created>
  <dcterms:modified xsi:type="dcterms:W3CDTF">2023-04-12T08:39:00Z</dcterms:modified>
</cp:coreProperties>
</file>