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784" w:rsidRPr="00FF7784" w:rsidRDefault="00FF7784" w:rsidP="00FF7784">
      <w:pPr>
        <w:keepNext/>
        <w:keepLines/>
        <w:spacing w:after="300" w:line="276" w:lineRule="auto"/>
        <w:ind w:left="60" w:right="60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FF7784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7. Приложения к Сводному докладу</w:t>
      </w:r>
    </w:p>
    <w:p w:rsidR="00FF7784" w:rsidRPr="00FF7784" w:rsidRDefault="00FF7784" w:rsidP="00FF7784">
      <w:pPr>
        <w:spacing w:after="196" w:line="276" w:lineRule="auto"/>
        <w:ind w:left="142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7784" w:rsidRPr="00FF7784" w:rsidRDefault="00FF7784" w:rsidP="00FF7784">
      <w:pPr>
        <w:spacing w:after="196" w:line="276" w:lineRule="auto"/>
        <w:ind w:left="142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F778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Приложение 1</w:t>
      </w:r>
    </w:p>
    <w:p w:rsidR="00FF7784" w:rsidRDefault="00FF7784" w:rsidP="00FF7784">
      <w:pPr>
        <w:spacing w:after="5" w:line="276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x-none" w:eastAsia="x-none"/>
        </w:rPr>
      </w:pPr>
      <w:r w:rsidRPr="00FF7784">
        <w:rPr>
          <w:rFonts w:ascii="Times New Roman" w:eastAsia="Arial Unicode MS" w:hAnsi="Times New Roman" w:cs="Times New Roman"/>
          <w:color w:val="000000"/>
          <w:sz w:val="28"/>
          <w:szCs w:val="28"/>
          <w:lang w:val="x-none" w:eastAsia="x-none"/>
        </w:rPr>
        <w:t>Информация о показателях муниципальных программ за 202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x-none"/>
        </w:rPr>
        <w:t>1</w:t>
      </w:r>
      <w:r w:rsidRPr="00FF7784">
        <w:rPr>
          <w:rFonts w:ascii="Times New Roman" w:eastAsia="Arial Unicode MS" w:hAnsi="Times New Roman" w:cs="Times New Roman"/>
          <w:color w:val="000000"/>
          <w:sz w:val="28"/>
          <w:szCs w:val="28"/>
          <w:lang w:val="x-none" w:eastAsia="x-none"/>
        </w:rPr>
        <w:t xml:space="preserve"> год</w:t>
      </w:r>
    </w:p>
    <w:p w:rsidR="00FF7784" w:rsidRDefault="00FF7784" w:rsidP="00FF7784">
      <w:pPr>
        <w:spacing w:after="5" w:line="276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x-none" w:eastAsia="x-none"/>
        </w:rPr>
      </w:pPr>
    </w:p>
    <w:tbl>
      <w:tblPr>
        <w:tblW w:w="160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140"/>
        <w:gridCol w:w="1776"/>
        <w:gridCol w:w="66"/>
        <w:gridCol w:w="143"/>
        <w:gridCol w:w="4958"/>
        <w:gridCol w:w="144"/>
        <w:gridCol w:w="852"/>
        <w:gridCol w:w="25"/>
        <w:gridCol w:w="1380"/>
        <w:gridCol w:w="13"/>
        <w:gridCol w:w="140"/>
        <w:gridCol w:w="1280"/>
        <w:gridCol w:w="1276"/>
        <w:gridCol w:w="1701"/>
        <w:gridCol w:w="15"/>
      </w:tblGrid>
      <w:tr w:rsidR="00FF7784" w:rsidRPr="003008C0" w:rsidTr="00DF43CF">
        <w:trPr>
          <w:gridAfter w:val="1"/>
          <w:wAfter w:w="15" w:type="dxa"/>
          <w:trHeight w:val="828"/>
        </w:trPr>
        <w:tc>
          <w:tcPr>
            <w:tcW w:w="2265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(индикатора)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 показателя (индикатора)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достижения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Обоснование отклонений значений показателя (индикатора) на конец  отчетного года (при наличии)</w:t>
            </w:r>
          </w:p>
        </w:tc>
      </w:tr>
      <w:tr w:rsidR="00FF7784" w:rsidRPr="003008C0" w:rsidTr="00DF43CF">
        <w:trPr>
          <w:gridAfter w:val="1"/>
          <w:wAfter w:w="15" w:type="dxa"/>
          <w:trHeight w:val="636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2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784" w:rsidRPr="003008C0" w:rsidTr="002824A4">
        <w:trPr>
          <w:gridAfter w:val="1"/>
          <w:wAfter w:w="15" w:type="dxa"/>
          <w:trHeight w:val="348"/>
        </w:trPr>
        <w:tc>
          <w:tcPr>
            <w:tcW w:w="13041" w:type="dxa"/>
            <w:gridSpan w:val="13"/>
            <w:shd w:val="clear" w:color="auto" w:fill="C5E0B3" w:themeFill="accent6" w:themeFillTint="66"/>
            <w:vAlign w:val="center"/>
            <w:hideMark/>
          </w:tcPr>
          <w:p w:rsidR="00FF7784" w:rsidRPr="00DF43CF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3CF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«Развитие образования Рамонского муниципального района Воронежской области»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F7784" w:rsidRPr="003008C0" w:rsidRDefault="00E1534D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784" w:rsidRPr="003008C0" w:rsidTr="00DF43CF">
        <w:trPr>
          <w:gridAfter w:val="1"/>
          <w:wAfter w:w="15" w:type="dxa"/>
          <w:trHeight w:val="1200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B15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«Развитие дошкольного и общего образования»</w:t>
            </w: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дошкольных образовательных учреждениях, в общей численности детей в возрасте 1 - 6 лет.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96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20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</w:t>
            </w: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дошкольных образовательных учреждений.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96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20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 первой и второй групп здоровья в общей численности обучающихся в муниципальных общеобразовательных учреждениях.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20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20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обучающихся 1-11 классов муниципальных общеобразовательных учреждений, получающих двухразовое горячее питание, в общей численности обучающихся 1-11 классов муниципальных общеобразовательных учреждений.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727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обучающихся по основным образовательным программам начального общего, основного общего и среднего общего образования, участвующие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960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776" w:type="dxa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«Социализация детей-сирот и детей, нуждающихся в особой заботе государства»</w:t>
            </w: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родителей.</w:t>
            </w:r>
          </w:p>
        </w:tc>
        <w:tc>
          <w:tcPr>
            <w:tcW w:w="1021" w:type="dxa"/>
            <w:gridSpan w:val="3"/>
            <w:shd w:val="clear" w:color="auto" w:fill="auto"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98,42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98,42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48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исполнения плановых значений по расходам на реализацию подпрограммы.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248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«Развитие дополнительного образования  и воспитание детей и молодежи»</w:t>
            </w:r>
          </w:p>
        </w:tc>
        <w:tc>
          <w:tcPr>
            <w:tcW w:w="5167" w:type="dxa"/>
            <w:gridSpan w:val="3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432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 в возрасте от 5 до 18 лет, получающих услуги дополнительного образования с использованием сертификата дополнительного образования, от общей численности детей, получающих услуги дополнительного образования в возрасте от 5 до 18 лет в учреждениях дополнительного образования, за исключением программ предпрофессиональной подготовки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1503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обучающихся по основным образовательным программам начального общего, основного общего и среднего общего образования, участвующие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48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исполнения плановых значений по расходам на реализацию подпрограммы.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«Вовлечение молодежи  в социальную практику»</w:t>
            </w:r>
          </w:p>
        </w:tc>
        <w:tc>
          <w:tcPr>
            <w:tcW w:w="5167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молодых людей, задействованных в реализации подпрограммы, от общей численности молодежи в возрасте от 14 до 30 лет.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986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от общей численности молодежи в возрасте от 14 до 30 лет.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56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5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организации отдыха и   оздоровления   детей и молодежи»</w:t>
            </w:r>
          </w:p>
        </w:tc>
        <w:tc>
          <w:tcPr>
            <w:tcW w:w="5167" w:type="dxa"/>
            <w:gridSpan w:val="3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детей, охваченных организованным отдыхом и (или) оздоровлением к общей численности детей школьного возраста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501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исполнения плановых значений по расходам на реализацию подпрограммы.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468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6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«Развитие физической культуры и спорта»</w:t>
            </w: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обучающихся, систематически занимающихся физической культурой в общей численности обучающихся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84,2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847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общей численности населения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432" w:type="dxa"/>
            <w:gridSpan w:val="3"/>
            <w:shd w:val="clear" w:color="000000" w:fill="FFFFFF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48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исполнения плановых значений по расходам на реализацию подпрограммы.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3008C0" w:rsidTr="00DF43CF">
        <w:trPr>
          <w:gridAfter w:val="1"/>
          <w:wAfter w:w="15" w:type="dxa"/>
          <w:trHeight w:val="600"/>
        </w:trPr>
        <w:tc>
          <w:tcPr>
            <w:tcW w:w="2265" w:type="dxa"/>
            <w:gridSpan w:val="2"/>
            <w:vMerge w:val="restart"/>
            <w:shd w:val="clear" w:color="000000" w:fill="FFFFFF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ПОДПРОГРАММА 7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«Финансовое обеспечение реализации муниципальной программы»</w:t>
            </w:r>
          </w:p>
        </w:tc>
        <w:tc>
          <w:tcPr>
            <w:tcW w:w="5167" w:type="dxa"/>
            <w:gridSpan w:val="3"/>
            <w:shd w:val="clear" w:color="auto" w:fill="auto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7784" w:rsidRPr="001147F6" w:rsidTr="00DF43CF">
        <w:trPr>
          <w:gridAfter w:val="1"/>
          <w:wAfter w:w="15" w:type="dxa"/>
          <w:trHeight w:val="720"/>
        </w:trPr>
        <w:tc>
          <w:tcPr>
            <w:tcW w:w="2265" w:type="dxa"/>
            <w:gridSpan w:val="2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7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целей, задач и  показателей муниципальной программы в целом, в разрезе подпрограмм и основных мероприятий.</w:t>
            </w:r>
          </w:p>
        </w:tc>
        <w:tc>
          <w:tcPr>
            <w:tcW w:w="1021" w:type="dxa"/>
            <w:gridSpan w:val="3"/>
            <w:shd w:val="clear" w:color="auto" w:fill="auto"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32" w:type="dxa"/>
            <w:gridSpan w:val="3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784" w:rsidRPr="003008C0" w:rsidRDefault="00FF7784" w:rsidP="00D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784" w:rsidRPr="003008C0" w:rsidRDefault="00FF7784" w:rsidP="00D41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2225" w:rsidRPr="00002225" w:rsidTr="002824A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60"/>
        </w:trPr>
        <w:tc>
          <w:tcPr>
            <w:tcW w:w="13041" w:type="dxa"/>
            <w:gridSpan w:val="13"/>
            <w:shd w:val="clear" w:color="auto" w:fill="C5E0B3" w:themeFill="accent6" w:themeFillTint="66"/>
          </w:tcPr>
          <w:p w:rsidR="00002225" w:rsidRPr="00DF43CF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3C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«Развитие культуры и туризма в </w:t>
            </w:r>
            <w:proofErr w:type="spellStart"/>
            <w:r w:rsidRPr="00DF43CF">
              <w:rPr>
                <w:rFonts w:ascii="Times New Roman" w:eastAsia="Times New Roman" w:hAnsi="Times New Roman" w:cs="Times New Roman"/>
                <w:b/>
                <w:lang w:eastAsia="ru-RU"/>
              </w:rPr>
              <w:t>Рамонском</w:t>
            </w:r>
            <w:proofErr w:type="spellEnd"/>
            <w:r w:rsidRPr="00DF43C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муниципальном районе Воронежской области»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002225" w:rsidRPr="00002225" w:rsidRDefault="003E16A9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 w:val="restart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1. Доля населения, охваченного мероприятиями в сфере культуры от общей численности населения района,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90,4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90,4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2. Уровень фактической обеспеченности учреждениями культуры в муниципальном районе в процентном отношении от нормативной потребности,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клубами и учреждениями клубного типа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библиотеками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109,1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109,1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парками культуры и отдыха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3. Доля муниципальных учреждений культуры, здания которых находятся в аварийном состоянии или требуют капитального ремонта, в общем </w:t>
            </w: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количестве муниципальных учреждений культуры,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4.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17,64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17,64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5. Расходы консолидированного бюджета муниципального района на культуру в расчете на одного жителя, руб.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1788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1788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6. Отношение среднемесячной номинальной начисленной заработной платы работников муниципальных учреждений культуры и искусства к среднемесячной начисленной зарплате работников, занятых в сфере экономики региона, руб.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работников учреждений культуры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ЗП-культура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педагогических работников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ЗП-образование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7. Среднемесячная номинальная начисленная заработанная плата работников муниципальных учреждений культуры и искусства, руб.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работников учреждений культуры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ЗП-культура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right="-156"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28994,89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right="-156"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28994,89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педагогических работников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ЗП-образование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35969,25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35969,25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8. Охват детей в возрасте от 5 лет до 18 лет дополнительным образованием в сфере культуры и искусства в муниципальном образовании,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1-ДШИ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9. Динамика объёма въездного туристского потока на территории района,</w:t>
            </w: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в % к предыдущему году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Развитие культуры Рамонского муниципального района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 w:val="restart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</w:t>
            </w:r>
          </w:p>
        </w:tc>
        <w:tc>
          <w:tcPr>
            <w:tcW w:w="1842" w:type="dxa"/>
            <w:gridSpan w:val="2"/>
            <w:vMerge w:val="restart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организации деятельности культурно-досуговых учреждений района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1.1.1. Количество участников культурно-досуговых мероприятий, чел.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7-НК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144113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144113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1.1.2. Количество участников клубных формирований, чел.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7-НК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3221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3221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1.1.3. Удельный вес сельских клубов, оснащенных современным оборудованием,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25" w:rsidRPr="00002225" w:rsidRDefault="00002225" w:rsidP="00B15F6F">
            <w:pPr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и развитие </w:t>
            </w: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библиотечного обслуживания населения Рамонского муниципального района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 Число посещений библиотеки, ед.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6-НК</w:t>
            </w: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155455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155455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Система мер по сохранению и развитию дополнительного образования детей в сфере культуры Рамонского муниципального района</w:t>
            </w: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1.3.1. Количество учащихся ДШИ, чел.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1-ДО</w:t>
            </w: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«Творческие люди»</w:t>
            </w:r>
          </w:p>
        </w:tc>
        <w:tc>
          <w:tcPr>
            <w:tcW w:w="5101" w:type="dxa"/>
            <w:gridSpan w:val="2"/>
            <w:shd w:val="clear" w:color="auto" w:fill="auto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bCs/>
                <w:lang w:eastAsia="ru-RU"/>
              </w:rPr>
              <w:t>1.4.1. Уровень исполнения плановых назначений по расходам на государственную поддержку отрасли культуры, %</w:t>
            </w:r>
          </w:p>
        </w:tc>
        <w:tc>
          <w:tcPr>
            <w:tcW w:w="996" w:type="dxa"/>
            <w:gridSpan w:val="2"/>
            <w:shd w:val="clear" w:color="auto" w:fill="FFFFFF"/>
          </w:tcPr>
          <w:p w:rsidR="00002225" w:rsidRPr="00002225" w:rsidRDefault="00002225" w:rsidP="0000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по ОКУД 0503127</w:t>
            </w: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туризма в </w:t>
            </w:r>
            <w:proofErr w:type="spellStart"/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2.1.1. Обеспечение базовых информационных и </w:t>
            </w: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организационно-экономических условий для развития туризма в </w:t>
            </w:r>
            <w:proofErr w:type="spellStart"/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 Объём внутреннего и въездного туристского потока, чел.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 xml:space="preserve">2.2.1. Поддержка некоммерческих организаций, осуществляющих деятельность на территории Рамонского района Воронежской области по приоритетным </w:t>
            </w: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направлениям туристской деятельности в сфере внутреннего и въездного туризма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2.2.1. Количество некоммерческих организаций,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туризма, - получателей муниципальной поддержки, ед.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2225" w:rsidRPr="00002225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265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</w:t>
            </w:r>
          </w:p>
        </w:tc>
        <w:tc>
          <w:tcPr>
            <w:tcW w:w="1842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3.1.1. Финансовое обеспечение деятельности отдела по культуре администрации Рамонского муниципального района Воронежской области</w:t>
            </w:r>
          </w:p>
        </w:tc>
        <w:tc>
          <w:tcPr>
            <w:tcW w:w="5101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3.1.1. Уровень исполнения плановых значений по расходам на реализацию Муниципальной программы, %</w:t>
            </w:r>
          </w:p>
        </w:tc>
        <w:tc>
          <w:tcPr>
            <w:tcW w:w="996" w:type="dxa"/>
            <w:gridSpan w:val="2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Форма по ОКУД 0503127</w:t>
            </w:r>
          </w:p>
        </w:tc>
        <w:tc>
          <w:tcPr>
            <w:tcW w:w="1418" w:type="dxa"/>
            <w:gridSpan w:val="3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1419" w:type="dxa"/>
            <w:gridSpan w:val="2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1276" w:type="dxa"/>
          </w:tcPr>
          <w:p w:rsidR="00002225" w:rsidRPr="00002225" w:rsidRDefault="00002225" w:rsidP="00B15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2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</w:tcPr>
          <w:p w:rsidR="00002225" w:rsidRPr="00002225" w:rsidRDefault="00002225" w:rsidP="00002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3CF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130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DF43CF" w:rsidRPr="00893DBE" w:rsidRDefault="00DF43CF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893D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сельского хозяйства на территории Рамонского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F43CF" w:rsidRPr="00893DBE" w:rsidRDefault="0090426C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100,3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F43CF" w:rsidRPr="00893DBE" w:rsidRDefault="00DF43CF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животноводства (в сопоставимых ценах)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предпринимательства), тыс. руб.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38073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D13E41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заработная плата по сельхоз</w:t>
            </w:r>
            <w:r w:rsidR="00893DBE"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предприятиям увеличилась по сравнению с уровнем прошлого года более чем на 20%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процент </w:t>
            </w:r>
            <w:r w:rsidR="00D13E41"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прибыльных</w:t>
            </w: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предприятий меньше запланированного в связи с тем, что одна из прибыльных организаций успешно продолжает </w:t>
            </w:r>
            <w:r w:rsidR="00D13E41"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</w:t>
            </w: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 </w:t>
            </w: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 поменялся статус с сельскохозяйственного на промышленное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ПОДПРОГРАММА 1 Развитие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подотрасли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растениеводства, переработки и реализации продукции растениеводства</w:t>
            </w: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производства зерновых, зернобобовых, сахарной свеклы, масличных культур, картофеля</w:t>
            </w:r>
          </w:p>
        </w:tc>
        <w:tc>
          <w:tcPr>
            <w:tcW w:w="5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 объемов производства продукции растениеводства в стоимостном выражении в сельскохозяйственных организациях и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крестьянско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(фермерских) хозяйствах, %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2 Развитие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подотрасли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животноводства, переработки и реализации продукции животноводства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молочного скотоводства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молока в хозяйствах всех категорий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2.6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отрасли животноводства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скота и птицы на убой в хозяйствах всех категорий, тыс. тонн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2.8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проведения противоэпизоотических мероприятий в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Рамонском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районе Воронежской области</w:t>
            </w:r>
          </w:p>
        </w:tc>
        <w:tc>
          <w:tcPr>
            <w:tcW w:w="5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проведенных мероприятий по обеспечению эпизоотического, ветеринарного и санитарного благополучия, в общем числе этих мероприятий, %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3 Развитие мясного скотоводства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племенной базы мясного скотоводства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Поголовье крупного рогатого скота специализированных мясных пород и помесного скота 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иысю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голов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4 Поддержка малых форм хозяйствования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4.1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начинающих фермеров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крестьянских (фермерских) хозяйств начинающих фермеров, осуществивших проекты создания и развития своих хозяйств с помощью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грантовой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поддержки, единиц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5 Техническая и технологическая модернизация, инновационное развитие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5.1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Обновление парка сельскохозяйственной техники.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Колическтво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приобретенной техники сельскохозяйственными товаропроизводителями всех форм собственности,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трактор,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зерноуборочный комбайн,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кормоуборочный комбайн,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ПОДРОГРАММА 6 Финансовое обеспечение реализации программы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6.1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муниципального бюджетного учреждения «Центр поддержки агропромышленного комплекса и сельских территорий Рамонского муниципального района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предусмотренных объемов финансирования, тыс. руб.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2814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ПОДРОГРАММА 8 Комплексное развитие сельских территорий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CF0B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освоения предусмотренных объемов финансирования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рынка труда (кадрового потенциала) на сельских - территориях</w:t>
            </w:r>
          </w:p>
        </w:tc>
        <w:tc>
          <w:tcPr>
            <w:tcW w:w="5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Численность студентов, обучающихся в федеральных государственных образовательных организациях высшего образования, подведомственных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МинСХ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Ф, привлеченных сельскохозяйственными товаропроизводителями для прохождения производственной практики, человек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5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8.3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развитие инфраструктуры на сельских территориях (благоустройство сельских территорий)</w:t>
            </w:r>
          </w:p>
        </w:tc>
        <w:tc>
          <w:tcPr>
            <w:tcW w:w="5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реализованных проектов по благоустройству сельских территорий,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8.4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"Региональный проект  "Комплексная система обращения с твердыми коммунальными отходами" "Создание развития инфраструктуры на сельских территориях" (в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Государственная поддержка закупки контейнеров для раздельного накопления твердых коммунальных отходов)</w:t>
            </w:r>
          </w:p>
        </w:tc>
        <w:tc>
          <w:tcPr>
            <w:tcW w:w="5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освоения предусмотренных объемов финансирования, тыс. руб.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8381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0"/>
        </w:trPr>
        <w:tc>
          <w:tcPr>
            <w:tcW w:w="2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ПОДРОГРАММА 9 Создание условий и предпосылок для развития агропромышленного комплекса Рамонского муниципального района Воронежской области</w:t>
            </w: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DBE" w:rsidRPr="00893DBE" w:rsidTr="00282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03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824A4" w:rsidRPr="00893DBE" w:rsidTr="00DF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9.1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конкурсов, выставок, семинаров и прочих научно – </w:t>
            </w: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практических мероприятий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Минимальное количество проведенных конкурсов, выставок, семинаров и прочих научно-практических мероприятий в год, </w:t>
            </w:r>
            <w:proofErr w:type="spellStart"/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DBE" w:rsidRPr="00893DBE" w:rsidRDefault="00893DBE" w:rsidP="0089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DBE" w:rsidRPr="00893DBE" w:rsidRDefault="00893DBE" w:rsidP="00893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21312" w:rsidRPr="00736A1C" w:rsidTr="002824A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3041" w:type="dxa"/>
            <w:gridSpan w:val="13"/>
            <w:shd w:val="clear" w:color="auto" w:fill="C5E0B3" w:themeFill="accent6" w:themeFillTint="66"/>
          </w:tcPr>
          <w:p w:rsidR="00A21312" w:rsidRPr="00995AF3" w:rsidRDefault="00A21312" w:rsidP="0016406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МУНИЦИПАЛЬНАЯ ПРОГРАММА «Формирование и эффективное управление муниципальной собственностью Рамонского муниципального района Воронежской области»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A21312" w:rsidRPr="00FE2BDD" w:rsidRDefault="006F3F27" w:rsidP="0016406F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:rsidR="00A21312" w:rsidRPr="00FE2BDD" w:rsidRDefault="00A21312" w:rsidP="0016406F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  <w:vMerge w:val="restart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5" w:type="dxa"/>
            <w:gridSpan w:val="4"/>
            <w:vMerge w:val="restart"/>
          </w:tcPr>
          <w:p w:rsidR="00A21312" w:rsidRPr="00FE2BDD" w:rsidRDefault="00A21312" w:rsidP="0016406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2" w:type="dxa"/>
            <w:gridSpan w:val="2"/>
            <w:vAlign w:val="center"/>
          </w:tcPr>
          <w:p w:rsidR="00A21312" w:rsidRPr="00FE2BDD" w:rsidRDefault="00A21312" w:rsidP="0016406F">
            <w:pPr>
              <w:ind w:left="16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Поступление неналоговых имущественных доходов в консолидированный бюджет Рамонского муниципального района Воронежской области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142,3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142,3</w:t>
            </w:r>
          </w:p>
        </w:tc>
        <w:tc>
          <w:tcPr>
            <w:tcW w:w="1276" w:type="dxa"/>
            <w:vAlign w:val="center"/>
          </w:tcPr>
          <w:p w:rsidR="00A21312" w:rsidRPr="00FE2BDD" w:rsidRDefault="00A21312" w:rsidP="00B15F6F">
            <w:pPr>
              <w:pStyle w:val="ConsPlusNormal"/>
              <w:ind w:firstLine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A21312" w:rsidRPr="00FE2BDD" w:rsidRDefault="00A21312" w:rsidP="001640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  <w:vMerge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4"/>
            <w:vMerge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gridSpan w:val="2"/>
            <w:vAlign w:val="center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21312" w:rsidRPr="00FE2BDD" w:rsidRDefault="00A21312" w:rsidP="00B15F6F">
            <w:pPr>
              <w:pStyle w:val="ConsPlusNormal"/>
              <w:ind w:firstLine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A21312" w:rsidRPr="00FE2BDD" w:rsidRDefault="00A21312" w:rsidP="001640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  <w:vMerge/>
            <w:tcBorders>
              <w:bottom w:val="nil"/>
            </w:tcBorders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4"/>
            <w:vMerge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gridSpan w:val="2"/>
            <w:vAlign w:val="center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85,30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85,30</w:t>
            </w:r>
          </w:p>
        </w:tc>
        <w:tc>
          <w:tcPr>
            <w:tcW w:w="1276" w:type="dxa"/>
            <w:vAlign w:val="center"/>
          </w:tcPr>
          <w:p w:rsidR="00A21312" w:rsidRPr="00FE2BDD" w:rsidRDefault="00A21312" w:rsidP="00B15F6F">
            <w:pPr>
              <w:pStyle w:val="ConsPlusNormal"/>
              <w:ind w:firstLine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A21312" w:rsidRPr="00FE2BDD" w:rsidRDefault="00A21312" w:rsidP="001640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  <w:tcBorders>
              <w:top w:val="nil"/>
            </w:tcBorders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4"/>
            <w:vMerge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gridSpan w:val="2"/>
            <w:vAlign w:val="center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муниципального имущества, предназначенного для поддержки МСП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21312" w:rsidRPr="00FE2BDD" w:rsidRDefault="00A21312" w:rsidP="00B15F6F">
            <w:pPr>
              <w:jc w:val="center"/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276" w:type="dxa"/>
            <w:vAlign w:val="center"/>
          </w:tcPr>
          <w:p w:rsidR="00A21312" w:rsidRPr="00FE2BDD" w:rsidRDefault="00A21312" w:rsidP="00B15F6F">
            <w:pPr>
              <w:pStyle w:val="ConsPlusNormal"/>
              <w:ind w:firstLine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A21312" w:rsidRPr="00FE2BDD" w:rsidRDefault="00A21312" w:rsidP="001640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pStyle w:val="ConsPlusNormal"/>
              <w:ind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</w:t>
            </w:r>
            <w:r w:rsidRPr="00FE2BD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муниципальной собственностью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Объем поступившей арендной платы за землю в </w:t>
            </w:r>
            <w:r w:rsidRPr="00FE2B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местный бюджет в расчете на 1000 рублей начисленной арендной платы за землю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1193</w:t>
            </w: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1193</w:t>
            </w: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ind w:firstLine="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pStyle w:val="ConsPlusNormal"/>
              <w:ind w:firstLine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Организация управления муниципальным имуществом и земельными ресурсами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1.1.1, определяющий результативность только основного мероприятия 1.1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Осуществление полномочий собственника в отношении имущества муниципальных унитарных предприятий и муниципальных учреждений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1.2.1, определяющий результативность только основного мероприятия 1.2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lastRenderedPageBreak/>
              <w:t>Основное мероприятие 1.3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недвижимости в кадастровом квартале, в отношении которого проведены комплексные кадастровые работы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Организация</w:t>
            </w:r>
            <w:r w:rsidRPr="00FE2B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управление муниципальным заказом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Увеличение суммы экономии при размещении муниципального заказа путем проведения конкурентных процедур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Планирование муниципального заказа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2.1.1, определяющий результативность только основного мероприятия 2.1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Управление муниципальным заказом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2.2.1, определяющий результативность только основного мероприятия 2.2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rPr>
                <w:rFonts w:ascii="Times New Roman" w:hAnsi="Times New Roman" w:cs="Times New Roman"/>
              </w:rPr>
            </w:pPr>
            <w:r w:rsidRPr="00FE2BDD">
              <w:rPr>
                <w:rFonts w:ascii="Times New Roman" w:hAnsi="Times New Roman" w:cs="Times New Roman"/>
                <w:bCs/>
              </w:rPr>
              <w:t xml:space="preserve">Финансовое обеспечение реализации </w:t>
            </w:r>
            <w:r w:rsidRPr="00FE2BDD">
              <w:rPr>
                <w:rFonts w:ascii="Times New Roman" w:hAnsi="Times New Roman" w:cs="Times New Roman"/>
                <w:bCs/>
              </w:rPr>
              <w:lastRenderedPageBreak/>
              <w:t>муниципальной программы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(индикатор)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1312" w:rsidRPr="00736A1C" w:rsidTr="00DF43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2125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3.1</w:t>
            </w:r>
          </w:p>
        </w:tc>
        <w:tc>
          <w:tcPr>
            <w:tcW w:w="2125" w:type="dxa"/>
            <w:gridSpan w:val="4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отдела имущественных и земельных отношений администрации Рамонского муниципального района Воронежской области</w:t>
            </w:r>
          </w:p>
        </w:tc>
        <w:tc>
          <w:tcPr>
            <w:tcW w:w="5102" w:type="dxa"/>
            <w:gridSpan w:val="2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852" w:type="dxa"/>
          </w:tcPr>
          <w:p w:rsidR="00A21312" w:rsidRPr="00FE2BDD" w:rsidRDefault="00A21312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</w:tcPr>
          <w:p w:rsidR="00A21312" w:rsidRPr="00FE2BDD" w:rsidRDefault="00A21312" w:rsidP="00B15F6F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8420,63</w:t>
            </w:r>
          </w:p>
        </w:tc>
        <w:tc>
          <w:tcPr>
            <w:tcW w:w="1279" w:type="dxa"/>
          </w:tcPr>
          <w:p w:rsidR="00A21312" w:rsidRPr="00FE2BDD" w:rsidRDefault="00A21312" w:rsidP="00B15F6F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8418,41</w:t>
            </w:r>
          </w:p>
        </w:tc>
        <w:tc>
          <w:tcPr>
            <w:tcW w:w="1276" w:type="dxa"/>
          </w:tcPr>
          <w:p w:rsidR="00A21312" w:rsidRPr="00FE2BDD" w:rsidRDefault="00A21312" w:rsidP="00B15F6F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2BDD">
              <w:rPr>
                <w:rFonts w:ascii="Times New Roman" w:hAnsi="Times New Roman" w:cs="Times New Roman"/>
                <w:sz w:val="22"/>
                <w:szCs w:val="22"/>
              </w:rPr>
              <w:t>99,97</w:t>
            </w:r>
          </w:p>
        </w:tc>
        <w:tc>
          <w:tcPr>
            <w:tcW w:w="1701" w:type="dxa"/>
          </w:tcPr>
          <w:p w:rsidR="00A21312" w:rsidRPr="00FE2BDD" w:rsidRDefault="00A21312" w:rsidP="001640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27"/>
        <w:gridCol w:w="2143"/>
        <w:gridCol w:w="5086"/>
        <w:gridCol w:w="764"/>
        <w:gridCol w:w="1527"/>
        <w:gridCol w:w="1395"/>
        <w:gridCol w:w="1597"/>
        <w:gridCol w:w="1379"/>
      </w:tblGrid>
      <w:tr w:rsidR="00794311" w:rsidRPr="00794311" w:rsidTr="00995AF3">
        <w:trPr>
          <w:trHeight w:val="300"/>
        </w:trPr>
        <w:tc>
          <w:tcPr>
            <w:tcW w:w="13042" w:type="dxa"/>
            <w:gridSpan w:val="6"/>
            <w:shd w:val="clear" w:color="auto" w:fill="C5E0B3" w:themeFill="accent6" w:themeFillTint="66"/>
            <w:noWrap/>
          </w:tcPr>
          <w:p w:rsidR="00794311" w:rsidRPr="00995AF3" w:rsidRDefault="00794311" w:rsidP="00794311">
            <w:pPr>
              <w:rPr>
                <w:rFonts w:ascii="Times New Roman" w:hAnsi="Times New Roman" w:cs="Times New Roman"/>
                <w:b/>
              </w:rPr>
            </w:pPr>
            <w:r w:rsidRPr="00995AF3">
              <w:rPr>
                <w:rFonts w:ascii="Times New Roman" w:hAnsi="Times New Roman" w:cs="Times New Roman"/>
                <w:b/>
              </w:rPr>
              <w:t>МУНИЦИПАЛЬНАЯ ПРОГРАММА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 Рамонского муниципального района Воронежской области»</w:t>
            </w:r>
          </w:p>
        </w:tc>
        <w:tc>
          <w:tcPr>
            <w:tcW w:w="2976" w:type="dxa"/>
            <w:gridSpan w:val="2"/>
            <w:shd w:val="clear" w:color="auto" w:fill="C5E0B3" w:themeFill="accent6" w:themeFillTint="66"/>
          </w:tcPr>
          <w:p w:rsidR="00794311" w:rsidRPr="005D518D" w:rsidRDefault="004B29A5" w:rsidP="00794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</w:tc>
      </w:tr>
      <w:tr w:rsidR="00794311" w:rsidRPr="00794311" w:rsidTr="00995AF3">
        <w:trPr>
          <w:trHeight w:val="2520"/>
        </w:trPr>
        <w:tc>
          <w:tcPr>
            <w:tcW w:w="2127" w:type="dxa"/>
            <w:vMerge w:val="restart"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 w:val="restart"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Отношение дефицита районного бюджета (за вычетом поступлений от продажи акций и иных форм участия в капитале, находящихся в собственности Рамонского муниципального района, и снижения остатков средств на счетах по учету средств районного бюджета) к годовому объему доходов районного бюджета без учета объема безвозмездных поступлений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В результате исполнения</w:t>
            </w:r>
          </w:p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 бюджета сложился профицит</w:t>
            </w:r>
          </w:p>
        </w:tc>
      </w:tr>
      <w:tr w:rsidR="00794311" w:rsidRPr="00794311" w:rsidTr="00995AF3">
        <w:trPr>
          <w:trHeight w:val="1752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 (без учета субвенций)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02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Доля просроченной кредиторской задолженности муниципальных учреждений в общем объеме расходов районного бюджета  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не более 0,1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83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Муниципальный долг Рамонского муниципального района Воронежской области, в % к годовому объему доходов районного бюджета без учета утвержденного объема безвозмездных поступлений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≤30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204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просроченной кредиторской задолженности по оплате труда (включая начисления на оплату труда) муниципальных бюджетных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75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Расходы  бюджета муниципального 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≤1945,6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1 911,70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62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в общем объеме доходов (без учета безвозмездных поступлений, имеющих целевой характер)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99,36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99,41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29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Сумма недоимки по налоговым платежам в местный бюджет в расчете на 100000 рублей налоговых доходов бюджета муниципального образования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7,05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6,64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02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Динамика доли расходов на содержание органов местного самоуправления в объеме налоговых и неналоговых доходов местных бюджетов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2040"/>
        </w:trPr>
        <w:tc>
          <w:tcPr>
            <w:tcW w:w="2127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условий, предусмотренных соответствующими соглашениями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735"/>
        </w:trPr>
        <w:tc>
          <w:tcPr>
            <w:tcW w:w="16018" w:type="dxa"/>
            <w:gridSpan w:val="8"/>
            <w:hideMark/>
          </w:tcPr>
          <w:p w:rsidR="00794311" w:rsidRPr="00995AF3" w:rsidRDefault="00794311" w:rsidP="00794311">
            <w:pPr>
              <w:rPr>
                <w:rFonts w:ascii="Times New Roman" w:hAnsi="Times New Roman" w:cs="Times New Roman"/>
                <w:bCs/>
              </w:rPr>
            </w:pPr>
            <w:r w:rsidRPr="00995AF3">
              <w:rPr>
                <w:rFonts w:ascii="Times New Roman" w:hAnsi="Times New Roman" w:cs="Times New Roman"/>
                <w:bCs/>
              </w:rPr>
              <w:t>Подпрограмма 1 «Организация управления муниципальными финансами и муниципальным долгом»</w:t>
            </w:r>
          </w:p>
        </w:tc>
      </w:tr>
      <w:tr w:rsidR="00794311" w:rsidRPr="00794311" w:rsidTr="00995AF3">
        <w:trPr>
          <w:trHeight w:val="1785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1.1.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1.1. Нормативное правовое регулирование бюджетного процесса и других правоотношений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В установленный срок</w:t>
            </w:r>
          </w:p>
        </w:tc>
        <w:tc>
          <w:tcPr>
            <w:tcW w:w="1395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В установленный срок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64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1.2. Составление проекта районного бюджета на очередной финансовый год и плановый период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Соблюдение порядка и сроков разработки проекта районного бюджета, установленных Положением о бюджетном процессе в муниципальном районе  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482"/>
        </w:trPr>
        <w:tc>
          <w:tcPr>
            <w:tcW w:w="2127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1.3</w:t>
            </w:r>
          </w:p>
        </w:tc>
        <w:tc>
          <w:tcPr>
            <w:tcW w:w="2143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1.3. Организация исполнения районного бюджета и формирование бюджетной отчетности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Составление и утверждение сводной бюджетной росписи районного бюджета в сроки, установленные бюджетным законодательством  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начала очередного финансового года</w:t>
            </w:r>
          </w:p>
        </w:tc>
        <w:tc>
          <w:tcPr>
            <w:tcW w:w="1395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начала очередного финансового года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30"/>
        </w:trPr>
        <w:tc>
          <w:tcPr>
            <w:tcW w:w="2127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начала очередного финансового года</w:t>
            </w:r>
          </w:p>
        </w:tc>
        <w:tc>
          <w:tcPr>
            <w:tcW w:w="1395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начала очередного финансового года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30"/>
        </w:trPr>
        <w:tc>
          <w:tcPr>
            <w:tcW w:w="2127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Составление и представление в Совет народных депутатов  муниципального района годового отчета об исполнении районного бюджета в сроки, установленные бюджетным законодательством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1 мая теку-</w:t>
            </w:r>
            <w:proofErr w:type="spellStart"/>
            <w:r w:rsidRPr="005D518D">
              <w:rPr>
                <w:rFonts w:ascii="Times New Roman" w:hAnsi="Times New Roman" w:cs="Times New Roman"/>
              </w:rPr>
              <w:t>щего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395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 1 мая текущего года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2040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1.4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1.4. Управление резервным фондом администрации муниципального района и иными средствами на исполнение расходных обязательств муниципального района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Удельный вес резервного фонда администрации муниципального района в общем объеме расходов районного бюджета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≤3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530"/>
        </w:trPr>
        <w:tc>
          <w:tcPr>
            <w:tcW w:w="2127" w:type="dxa"/>
            <w:noWrap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1.5.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1.5. Управление муниципальным долгом муниципального района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расходов на обслуживание муниципального долга в общем объеме расходов районного бюджета (за исключением расходов, которые осуществляются за счет субвенций из областного бюджета)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≤5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789"/>
        </w:trPr>
        <w:tc>
          <w:tcPr>
            <w:tcW w:w="2127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1.6</w:t>
            </w:r>
          </w:p>
        </w:tc>
        <w:tc>
          <w:tcPr>
            <w:tcW w:w="2143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1.6. Обеспечение внутреннего муниципального финансового контроля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Соотношение количества принятых решений о применении  бюджетных мер принуждения и общего количества поступивших в Отдел по финансам уведомлений о применении бюджетных мер принуждения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2295"/>
        </w:trPr>
        <w:tc>
          <w:tcPr>
            <w:tcW w:w="2127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Доля главных администраторов средств районного бюджета (главных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бюджета), охваченных оценкой качества финансового менеджмента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688"/>
        </w:trPr>
        <w:tc>
          <w:tcPr>
            <w:tcW w:w="2127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1.7</w:t>
            </w:r>
          </w:p>
        </w:tc>
        <w:tc>
          <w:tcPr>
            <w:tcW w:w="2143" w:type="dxa"/>
            <w:vMerge w:val="restart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1.7. Обеспечение доступности информации о бюджетном процессе в муниципальном районе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305"/>
        </w:trPr>
        <w:tc>
          <w:tcPr>
            <w:tcW w:w="2127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vMerge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Обеспечение размещения информации о системе управления муниципальными финансами на официальном сайте муниципального района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300"/>
        </w:trPr>
        <w:tc>
          <w:tcPr>
            <w:tcW w:w="16018" w:type="dxa"/>
            <w:gridSpan w:val="8"/>
            <w:hideMark/>
          </w:tcPr>
          <w:p w:rsidR="00794311" w:rsidRPr="00995AF3" w:rsidRDefault="00794311" w:rsidP="00794311">
            <w:pPr>
              <w:rPr>
                <w:rFonts w:ascii="Times New Roman" w:hAnsi="Times New Roman" w:cs="Times New Roman"/>
                <w:bCs/>
              </w:rPr>
            </w:pPr>
            <w:r w:rsidRPr="00995AF3">
              <w:rPr>
                <w:rFonts w:ascii="Times New Roman" w:hAnsi="Times New Roman" w:cs="Times New Roman"/>
                <w:bCs/>
              </w:rPr>
              <w:t>Подпрограмма 2 «Повышение устойчивости бюджетов поселений Рамонского муниципального района Воронежской области»</w:t>
            </w:r>
          </w:p>
        </w:tc>
      </w:tr>
      <w:tr w:rsidR="00794311" w:rsidRPr="00794311" w:rsidTr="00995AF3">
        <w:trPr>
          <w:trHeight w:val="2040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 Основное мероприятие 2.1. 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 Основное мероприятие 2.1. Подготовка проектов нормативных правовых актов муниципального района об утверждении Порядка предоставления </w:t>
            </w:r>
            <w:r w:rsidRPr="005D518D">
              <w:rPr>
                <w:rFonts w:ascii="Times New Roman" w:hAnsi="Times New Roman" w:cs="Times New Roman"/>
              </w:rPr>
              <w:lastRenderedPageBreak/>
              <w:t>финансовой помощи поселениям муниципального района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3315"/>
        </w:trPr>
        <w:tc>
          <w:tcPr>
            <w:tcW w:w="2127" w:type="dxa"/>
            <w:noWrap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2.2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2.2. Выравнивание бюджетной обеспеченности поселений муниципального района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Исполнение расходных обязательств по финансированию из районного бюджета дотации поселениям муниципального района на выравнивание уровня бюджетной обеспеченности к их плановому назначению, предусмотренному решением Совета народных депутатов Рамонского муниципального района Воронежской области о районном бюджете на соответствующий период и (или) сводной бюджетной росписью районного бюджета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3060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2.3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2.3. Поддержка мер по обеспечению сбалансированности бюджетов поселений Рамонского муниципального района Воронежской области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Исполнение расходных обязательств по финансированию из районного бюджета иных межбюджетных трансфертов поселениям муниципального района на обеспечение сбалансированности их бюджетов к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2805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2.4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мероприятие 2.4.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приоритетных социально значимых расходов поселений Рамонского муниципального района Воронежской области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Соотношение фактического финансирования объемов субсидий на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приоритетных социально значимых расходов бюджетов поселений  к их плановому назначению, предусмотренному решением Совета народных депутатов муниципального  района о районном бюджете на соответствующий период и (или) сводной бюджетной росписью районного бюджета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приоритетных социально значимых расходов бюджетам поселений не предоставлялись</w:t>
            </w:r>
          </w:p>
        </w:tc>
      </w:tr>
      <w:tr w:rsidR="00794311" w:rsidRPr="00794311" w:rsidTr="00995AF3">
        <w:trPr>
          <w:trHeight w:val="1530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2.5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2.5. Содействие повышению качества организации и осуществления бюджетного процесса поселений муниципального района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Средняя оценка качества организации и осуществления бюджетного процесса поселений муниципального района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не менее 15,0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3023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2.6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мероприятие 2.6.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счет иных межбюджетных трансфертов, выделяемых из других бюджетов бюджетной системы РФ в соответствии с заключенными соглашениями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Соотношение фактических расходов районного бюджета на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счет  иных межбюджетных трансфертов, выделяемых из других бюджетов бюджетной системы РФ в соответствии с заключенными соглашениями к их плановому значению на соответствующий период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 Отклонение плановых показателей (лимитов) из областного бюджета от фактических расходов сложилось в результате оплаты расходов  по факту выполненных работ</w:t>
            </w:r>
          </w:p>
        </w:tc>
      </w:tr>
      <w:tr w:rsidR="00794311" w:rsidRPr="00794311" w:rsidTr="00995AF3">
        <w:trPr>
          <w:trHeight w:val="3529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2.7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мероприятие 2.8 Региональный проект «Чистая вода» </w:t>
            </w:r>
          </w:p>
        </w:tc>
        <w:tc>
          <w:tcPr>
            <w:tcW w:w="5086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Соотношение фактических расходов районного бюджета на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иных межбюджетных трансфертов, выделяемых из других бюджетов бюджетной системы РФ в соответствии с заключенными соглашениями к их плановому значению на соответствующий период (%) в рамках реализации регионального проекта «Чистая вода»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5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  <w:tr w:rsidR="00794311" w:rsidRPr="00794311" w:rsidTr="00995AF3">
        <w:trPr>
          <w:trHeight w:val="1129"/>
        </w:trPr>
        <w:tc>
          <w:tcPr>
            <w:tcW w:w="2127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  <w:b/>
                <w:bCs/>
              </w:rPr>
            </w:pPr>
            <w:r w:rsidRPr="005D518D">
              <w:rPr>
                <w:rFonts w:ascii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143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Подпрограмма 3 «Финансовое обеспечение реализации муниципальной  программы»</w:t>
            </w:r>
          </w:p>
        </w:tc>
        <w:tc>
          <w:tcPr>
            <w:tcW w:w="5086" w:type="dxa"/>
            <w:hideMark/>
          </w:tcPr>
          <w:p w:rsidR="00794311" w:rsidRPr="005D518D" w:rsidRDefault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764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≥95</w:t>
            </w:r>
          </w:p>
        </w:tc>
        <w:tc>
          <w:tcPr>
            <w:tcW w:w="1395" w:type="dxa"/>
            <w:noWrap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597" w:type="dxa"/>
            <w:hideMark/>
          </w:tcPr>
          <w:p w:rsidR="00794311" w:rsidRPr="005D518D" w:rsidRDefault="00794311" w:rsidP="00752A1D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79" w:type="dxa"/>
            <w:hideMark/>
          </w:tcPr>
          <w:p w:rsidR="00794311" w:rsidRPr="005D518D" w:rsidRDefault="00794311" w:rsidP="00794311">
            <w:pPr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</w:tr>
    </w:tbl>
    <w:tbl>
      <w:tblPr>
        <w:tblW w:w="16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1853"/>
        <w:gridCol w:w="10"/>
        <w:gridCol w:w="5093"/>
        <w:gridCol w:w="10"/>
        <w:gridCol w:w="841"/>
        <w:gridCol w:w="9"/>
        <w:gridCol w:w="1408"/>
        <w:gridCol w:w="10"/>
        <w:gridCol w:w="1539"/>
        <w:gridCol w:w="1560"/>
        <w:gridCol w:w="1427"/>
      </w:tblGrid>
      <w:tr w:rsidR="004F0218" w:rsidRPr="001F56BD" w:rsidTr="00995AF3">
        <w:trPr>
          <w:jc w:val="center"/>
        </w:trPr>
        <w:tc>
          <w:tcPr>
            <w:tcW w:w="13036" w:type="dxa"/>
            <w:gridSpan w:val="10"/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0218" w:rsidRPr="00995AF3" w:rsidRDefault="004F0218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«Муниципальное управление Рамонского муниципального района Воронежской области»</w:t>
            </w:r>
          </w:p>
        </w:tc>
        <w:tc>
          <w:tcPr>
            <w:tcW w:w="2987" w:type="dxa"/>
            <w:gridSpan w:val="2"/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0218" w:rsidRPr="005D518D" w:rsidRDefault="000132C9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114,9</w:t>
            </w:r>
          </w:p>
        </w:tc>
      </w:tr>
      <w:tr w:rsidR="004F0218" w:rsidRPr="001F56BD" w:rsidTr="00995AF3">
        <w:trPr>
          <w:jc w:val="center"/>
        </w:trPr>
        <w:tc>
          <w:tcPr>
            <w:tcW w:w="2263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Удовлетворенность населения деятельностью органов местного самоуправления муниципального района,%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64,3%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64,3%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218" w:rsidRPr="001F56BD" w:rsidTr="00995AF3">
        <w:trPr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Эффективность правотворческой деятельности органов местного самоуправления, 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218" w:rsidRPr="001F56BD" w:rsidTr="00995AF3">
        <w:trPr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реализованных проектов, инициированных ТОС и общественными организациями,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195%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218" w:rsidRPr="001F56BD" w:rsidTr="00995AF3">
        <w:trPr>
          <w:trHeight w:val="15"/>
          <w:jc w:val="center"/>
        </w:trPr>
        <w:tc>
          <w:tcPr>
            <w:tcW w:w="2263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3" w:type="dxa"/>
            <w:gridSpan w:val="2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Развитие муниципального управления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Соответствие муниципальных правовых актов действующему законодательству, 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218" w:rsidRPr="001F56BD" w:rsidTr="00995AF3">
        <w:trPr>
          <w:trHeight w:val="920"/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НКО, которым предоставлена субсидия из бюджета муниципального района на обеспечение их деятельности,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trHeight w:val="15"/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СОНКО, которым предоставлена финансовая поддержка  за счет бюджетных ассигнований бюджета муниципального образования (включая субсидии из областного бюджета),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15"/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органов ТОС, которым предоставлены гранты из бюджета муниципального района на реализацию проектов на конкурсной основе,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128,6%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690"/>
          <w:jc w:val="center"/>
        </w:trPr>
        <w:tc>
          <w:tcPr>
            <w:tcW w:w="2263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НКО, которым предоставлена имущественная поддержка,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trHeight w:val="384"/>
          <w:jc w:val="center"/>
        </w:trPr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</w:t>
            </w:r>
          </w:p>
        </w:tc>
        <w:tc>
          <w:tcPr>
            <w:tcW w:w="186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1.2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 исполнение отдельных государственных полномочий, переданных федеральными законами и законами Воронежской области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1.3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Осуществление государственных полномочий по созданию и организации деятельности </w:t>
            </w:r>
            <w:r w:rsidRPr="005D518D">
              <w:rPr>
                <w:rFonts w:ascii="Times New Roman" w:hAnsi="Times New Roman" w:cs="Times New Roman"/>
              </w:rPr>
              <w:lastRenderedPageBreak/>
              <w:t>административных комиссий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1.4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деятельности по отлову и содержанию безнадзорных животных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1.5.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Финансовое обеспечение выполнения других расходных обязательств муниципального района органами местного самоуправления, иными главными распорядителями средств районного бюджета - исполнителями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 мероприятие 1.6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Предоставление субсидий СОНКО на обеспечение деятельности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1.7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Поддержка средств массовой информации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1.8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Предоставление на конкурсной основе грантов в форме субсидий СОНКО на реализацию программ (проектов)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 мероприятие 1.9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Поощрение проектов, реализуемых в рамках ТОС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1.10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Обеспечение соответствия нормативной правовой базы муниципального образования действующему законодательству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Предоставление СОНКО помещений на безвозмездной основе в соответствии с соглашениями о безвозмездной передаче части нежилого помещения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Освещение и пропаганда деятельности НКО (в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т.ч</w:t>
            </w:r>
            <w:proofErr w:type="spellEnd"/>
            <w:r w:rsidRPr="005D518D">
              <w:rPr>
                <w:rFonts w:ascii="Times New Roman" w:hAnsi="Times New Roman" w:cs="Times New Roman"/>
              </w:rPr>
              <w:t>. СОНКО, ТОС) посредством размещения тематической информации на официальном сайте органов местного самоуправления муниципального района в сети Интернет и в ОПГ «Голос Рамони»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мероприятие 1.13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 xml:space="preserve">Стимулирование НКО (в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т.ч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. </w:t>
            </w:r>
            <w:r w:rsidRPr="005D518D">
              <w:rPr>
                <w:rFonts w:ascii="Times New Roman" w:hAnsi="Times New Roman" w:cs="Times New Roman"/>
              </w:rPr>
              <w:lastRenderedPageBreak/>
              <w:t>СОНКО, ТОС) к созданию страничек в социальных сетях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1.14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Оказание содействия НКО (в </w:t>
            </w:r>
            <w:proofErr w:type="spellStart"/>
            <w:r w:rsidRPr="005D518D">
              <w:rPr>
                <w:rFonts w:ascii="Times New Roman" w:hAnsi="Times New Roman" w:cs="Times New Roman"/>
              </w:rPr>
              <w:t>т.ч</w:t>
            </w:r>
            <w:proofErr w:type="spellEnd"/>
            <w:r w:rsidRPr="005D518D">
              <w:rPr>
                <w:rFonts w:ascii="Times New Roman" w:hAnsi="Times New Roman" w:cs="Times New Roman"/>
              </w:rPr>
              <w:t>. СОНКО, ТОС) в освещении их деятельности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1.15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Информационная поддержка конкурса среди СОНКО на предоставление грантов в форме субсидий из бюджета муниципального района на реализацию программ (проектов)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1.16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Информационная поддержка конкурса среди ТОС на предоставление грантов из </w:t>
            </w:r>
            <w:r w:rsidRPr="005D518D">
              <w:rPr>
                <w:rFonts w:ascii="Times New Roman" w:hAnsi="Times New Roman" w:cs="Times New Roman"/>
              </w:rPr>
              <w:lastRenderedPageBreak/>
              <w:t>бюджета муниципального района на реализацию проектов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1.17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Проведение круглых столов и семинаров для представителей НКО с целью консультирования по актуальным вопросам организации и совершенствования их деятельности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1.18</w:t>
            </w:r>
          </w:p>
        </w:tc>
        <w:tc>
          <w:tcPr>
            <w:tcW w:w="186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Консультирование СОНКО по вопросам участия в  конкурсе на получение президентских грантов, а также конкурсах на получение грантов, проводимых администрацией муниципального </w:t>
            </w:r>
            <w:r w:rsidRPr="005D518D">
              <w:rPr>
                <w:rFonts w:ascii="Times New Roman" w:hAnsi="Times New Roman" w:cs="Times New Roman"/>
              </w:rPr>
              <w:lastRenderedPageBreak/>
              <w:t>района,  департаментом социальной защиты Воронежской области и другими организациями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1.19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Консультирование органов ТОС по вопросам участия в  конкурсах на получение грантов, проводимых Ассоциацией «Совет муниципальных образований Воронежской области» и администрацией муниципального района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1.20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Привлечение НКО к активному участию в </w:t>
            </w:r>
            <w:proofErr w:type="spellStart"/>
            <w:r w:rsidRPr="005D518D">
              <w:rPr>
                <w:rFonts w:ascii="Times New Roman" w:hAnsi="Times New Roman" w:cs="Times New Roman"/>
              </w:rPr>
              <w:t>общерайонных</w:t>
            </w:r>
            <w:proofErr w:type="spellEnd"/>
            <w:r w:rsidRPr="005D518D">
              <w:rPr>
                <w:rFonts w:ascii="Times New Roman" w:hAnsi="Times New Roman" w:cs="Times New Roman"/>
              </w:rPr>
              <w:t xml:space="preserve"> </w:t>
            </w:r>
            <w:r w:rsidRPr="005D518D">
              <w:rPr>
                <w:rFonts w:ascii="Times New Roman" w:hAnsi="Times New Roman" w:cs="Times New Roman"/>
              </w:rPr>
              <w:lastRenderedPageBreak/>
              <w:t>акциях и субботниках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1.21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Привлечение НКО к активному участию в культурно-массовых и патриотических мероприятиях, проводимых в районе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1.22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Привлечение НКО к активному участию в оказании поддержки ветеранам, инвалидам, пенсионерам и иным лицам, находящимся в трудной жизненной ситуации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trHeight w:val="30"/>
          <w:jc w:val="center"/>
        </w:trPr>
        <w:tc>
          <w:tcPr>
            <w:tcW w:w="22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</w:t>
            </w:r>
          </w:p>
        </w:tc>
        <w:tc>
          <w:tcPr>
            <w:tcW w:w="186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Осуществление материально-технического обеспечения </w:t>
            </w:r>
            <w:r w:rsidRPr="005D518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деятельности администрации муниципального района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 xml:space="preserve">Соотношение фактического финансирования расходов районного бюджета, направленных на осуществление деятельности МКУ «ЦОД ОМСУ», к </w:t>
            </w:r>
            <w:r w:rsidRPr="005D518D">
              <w:rPr>
                <w:rFonts w:ascii="Times New Roman" w:hAnsi="Times New Roman" w:cs="Times New Roman"/>
              </w:rPr>
              <w:lastRenderedPageBreak/>
              <w:t>предусмотренным в районном бюджете плановым расходам на соответствующий период, 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98,6%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101,4%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15"/>
          <w:jc w:val="center"/>
        </w:trPr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2.1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Создание системы обеспечения вызова экстренных оперативных служб по единому номеру «112» на базе Единой дежурно-диспетчерской службы муниципального района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98"/>
          <w:jc w:val="center"/>
        </w:trPr>
        <w:tc>
          <w:tcPr>
            <w:tcW w:w="22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Финансовое обеспечение деятельности МКУ «ЦОД ОМСУ»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920"/>
          <w:jc w:val="center"/>
        </w:trPr>
        <w:tc>
          <w:tcPr>
            <w:tcW w:w="2263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863" w:type="dxa"/>
            <w:gridSpan w:val="2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информационного общества в </w:t>
            </w:r>
            <w:r w:rsidRPr="00995A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муниципальном образовании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Доля серверов и рабочих станций, поврежденных вредоносными программами (вирусами), к их общему количеству, 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принятых заявлений о предоставлении государственных и муниципальных услуг, (среднее количество в месяц),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109,5%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межведомственных запросов (среднее количество в месяц),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108,4%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</w:t>
            </w:r>
            <w:r w:rsidRPr="005D518D">
              <w:rPr>
                <w:rFonts w:ascii="Times New Roman" w:hAnsi="Times New Roman" w:cs="Times New Roman"/>
              </w:rPr>
              <w:br/>
              <w:t>мероприятие 3.1</w:t>
            </w:r>
          </w:p>
        </w:tc>
        <w:tc>
          <w:tcPr>
            <w:tcW w:w="1863" w:type="dxa"/>
            <w:gridSpan w:val="2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Развитие информационного общества и формирование электронного муниципалитета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</w:t>
            </w:r>
            <w:r w:rsidRPr="005D518D">
              <w:rPr>
                <w:rFonts w:ascii="Times New Roman" w:hAnsi="Times New Roman" w:cs="Times New Roman"/>
              </w:rPr>
              <w:br/>
              <w:t>мероприятие 3.2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Организация предоставления муниципальных услуг, в том числе по принципу" одного окна"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Основное </w:t>
            </w:r>
            <w:r w:rsidRPr="005D518D">
              <w:rPr>
                <w:rFonts w:ascii="Times New Roman" w:hAnsi="Times New Roman" w:cs="Times New Roman"/>
              </w:rPr>
              <w:br/>
              <w:t>мероприятие 3.3</w:t>
            </w:r>
          </w:p>
        </w:tc>
        <w:tc>
          <w:tcPr>
            <w:tcW w:w="1863" w:type="dxa"/>
            <w:gridSpan w:val="2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Регистрация граждан в ЕСИА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1863" w:type="dxa"/>
            <w:gridSpan w:val="2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sz w:val="22"/>
                <w:szCs w:val="22"/>
              </w:rPr>
              <w:t>Развитие муниципальной службы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муниципальных служащих, прошедших повышение квалификации, чел.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175%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trHeight w:val="690"/>
          <w:jc w:val="center"/>
        </w:trPr>
        <w:tc>
          <w:tcPr>
            <w:tcW w:w="2263" w:type="dxa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vMerge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Количество выявленных фактов коррупции на муниципальной службе, ед.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мероприятие 4.1.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 xml:space="preserve">Совершенствование действующего </w:t>
            </w:r>
            <w:r w:rsidRPr="005D518D">
              <w:rPr>
                <w:rFonts w:ascii="Times New Roman" w:hAnsi="Times New Roman" w:cs="Times New Roman"/>
              </w:rPr>
              <w:lastRenderedPageBreak/>
              <w:t>муниципального законодательства о муниципальной службе и противодействии коррупции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Мероприятие 4.2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целях формирования высококвалифицированного кадрового состава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4.3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Формирование эффективного кадрового резерва муниципальных служащих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4.4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Осуществление антикоррупционных мер с целью снижения уровня коррупционности на муниципальной службе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A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5</w:t>
            </w:r>
          </w:p>
        </w:tc>
        <w:tc>
          <w:tcPr>
            <w:tcW w:w="186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995AF3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995AF3">
              <w:rPr>
                <w:rFonts w:ascii="Times New Roman" w:hAnsi="Times New Roman" w:cs="Times New Roman"/>
              </w:rPr>
              <w:t>Обеспечение реализации муниципальной программы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Уровень исполнения плановых назначений по расходам на реализацию подпрограммы, %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≥ 95</w:t>
            </w:r>
          </w:p>
        </w:tc>
        <w:tc>
          <w:tcPr>
            <w:tcW w:w="1539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99,7%</w:t>
            </w:r>
          </w:p>
        </w:tc>
        <w:tc>
          <w:tcPr>
            <w:tcW w:w="1560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104,9%</w:t>
            </w:r>
          </w:p>
        </w:tc>
        <w:tc>
          <w:tcPr>
            <w:tcW w:w="1427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Основное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5.1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Финансовое обеспечение деятельности администрации муниципального района, иных получателей средств районного бюджета-исполнителей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5.2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Финансовое обеспечение деятельности подведомственных учреждений МКУ «Рамонский архив»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Мероприятие 5.3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 xml:space="preserve">Осуществление выплаты пенсии за выслугу лет лицам, замещавшим выборные  муниципальные </w:t>
            </w:r>
            <w:r w:rsidRPr="005D518D">
              <w:rPr>
                <w:rFonts w:ascii="Times New Roman" w:hAnsi="Times New Roman" w:cs="Times New Roman"/>
              </w:rPr>
              <w:lastRenderedPageBreak/>
              <w:t>должности и должности муниципальной службы в органах местного самоуправления муниципального района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2AF6" w:rsidRPr="001F56BD" w:rsidTr="00995AF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lastRenderedPageBreak/>
              <w:t>Мероприятие 5.4</w:t>
            </w:r>
          </w:p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jc w:val="center"/>
              <w:rPr>
                <w:rFonts w:ascii="Times New Roman" w:hAnsi="Times New Roman" w:cs="Times New Roman"/>
              </w:rPr>
            </w:pPr>
            <w:r w:rsidRPr="005D518D">
              <w:rPr>
                <w:rFonts w:ascii="Times New Roman" w:hAnsi="Times New Roman" w:cs="Times New Roman"/>
              </w:rPr>
              <w:t>Оказание мер социальной поддержки отдельным категориям медицинских работников</w:t>
            </w:r>
          </w:p>
        </w:tc>
        <w:tc>
          <w:tcPr>
            <w:tcW w:w="510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5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6CBA" w:rsidRPr="005D518D" w:rsidRDefault="00B06CBA" w:rsidP="001640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303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</w:tcPr>
          <w:p w:rsidR="000F0786" w:rsidRPr="00995AF3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95AF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 «Создание благоприятных условий для населения Рамонского муниципального района Воронежской области»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</w:tcPr>
          <w:p w:rsidR="000F0786" w:rsidRPr="000F0786" w:rsidRDefault="00D13E41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36,8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100,5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43801,6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47344,4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среднемесячной заработной платы работников организаций (без субъектов малого предпринимательства)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104,5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113,37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108,5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стоящего на учете в качестве нуждающегося в жилых помещениях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14,1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32200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32480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100,9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регистрируемой безработицы в среднем за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0,45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7642F4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bookmarkStart w:id="0" w:name="_GoBack"/>
            <w:bookmarkEnd w:id="0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Обеспеченность врачебными кадрами на 10000 человек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29,3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80,9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введенная в действие за один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3,5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lang w:eastAsia="ru-RU"/>
              </w:rPr>
              <w:t>188,6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982FB3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82F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Подпрограмма 1. "Развитие и поддержка малого и среднего предпринимательства в </w:t>
            </w:r>
            <w:proofErr w:type="spellStart"/>
            <w:r w:rsidRPr="00982F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Рамонском</w:t>
            </w:r>
            <w:proofErr w:type="spellEnd"/>
            <w:r w:rsidRPr="00982F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муниципальном районе Воронежской области"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Число субъектов малого и среднего предпринимательства в расчете на 10 тыс. человек населения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516,47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420,75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инфраструктуры поддержки предпринимательства.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32,1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31,11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субъектов малого и среднего предпринимательства.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оборота розничной торговли на ярмарках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134,8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86,4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и развитие молодежного предпринимательства.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малых и средних предприятий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14687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14297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982FB3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82F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2. "Обеспечение доступным и комфортным жильем и коммунальными услугами населения Рамонского муниципального района Воронежской области"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2.1.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 молодых семей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 молодых семей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0786" w:rsidRPr="00982FB3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82FB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3. «Охрана окружающей среды»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"Развитие системы обращения с отходами производства и потребления (ТКО) на </w:t>
            </w: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муниципального района"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Удельный вес объектов размещения отходов,  соответствующих нормативным требованиям;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доли вторичных ресурсов, извлекаемых из  отходов  производства  и  потребления;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экологического мониторинга, повышение уровня экологического образования, информационное обеспечение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законсервированных санкционированных свалок;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ликвидированных санкционированных и несанкционированных  свалок.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8822E7" w:rsidRDefault="008822E7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822E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4</w:t>
            </w:r>
            <w:r w:rsidR="000F0786" w:rsidRPr="008822E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8822E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"Энергосбережение на территории в </w:t>
            </w:r>
            <w:proofErr w:type="spellStart"/>
            <w:r w:rsidRPr="008822E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Рамонском</w:t>
            </w:r>
            <w:proofErr w:type="spellEnd"/>
            <w:r w:rsidRPr="008822E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муниципальном районе Воронежской области"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4.1.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энергетических обследований зданий с предоставлением энергетического паспорта.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электрической энергии в МКД на одного проживающего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599,5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Удельная величина потребления тепловой энергии МКД на 1 </w:t>
            </w:r>
            <w:proofErr w:type="spellStart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общей площади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горячей воды в МКД на одного проживающего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холодной воды в МКД на одного проживающего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35,1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природного газа в МКД на одного проживающего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116,5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4.2.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систем теплоснабжения, водопровода и канализации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электрической энергии муниципальными бюджетными учреждениями на 1 человека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тепловой энергии муниципальными бюджетными учреждениями на 1 кв. м. общей площади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0,047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горячей воды муниципальными бюджетными учреждениями на 1 человека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0,023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176,9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холодной воды муниципальными бюджетными учреждениями на 1 человека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0,96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Удельная величина потребления природного газа муниципальными бюджетными учреждениями на 1 человека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64,6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освещенных частей улиц, проездов, набережных на конец года в общей протяженности улиц, проездов, набережных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91,7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106,9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Подпрограмма 6. "Профилактика правонарушений в </w:t>
            </w:r>
            <w:proofErr w:type="spellStart"/>
            <w:r w:rsidRPr="00752A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Рамонском</w:t>
            </w:r>
            <w:proofErr w:type="spellEnd"/>
            <w:r w:rsidRPr="00752A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муниципальном районе Воронежской области"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6.1.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асоциального поведения граждан в рамках осуществления </w:t>
            </w: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общественно- массовой и культурно-просветительской деятельности учреждений культуры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Снижение роста числа совершенных правонарушений и преступлений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6.2.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и предупреждение детского дорожно-транспортного травматизма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подростков и молодежи, вовлеченных в профилактические </w:t>
            </w:r>
            <w:r w:rsidR="009F3CEB"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реализуемых</w:t>
            </w: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рамках подпрограммы, в общей численности указанной категории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6.3.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рейдов с целью посещения и выявления семей социального риска и несовершеннолетних, ведущих асоциальный образ жизни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 муниципального района, охваченного мероприятиями правоохранительной направленности, реализуемых в рамках подпрограммы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752A1D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52A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8. "Защита населения на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объектах"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8.1.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 модернизация системы защиты населения от угроз чрезвычайных </w:t>
            </w: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ситуаций и пожаров: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Сокращение времени доведения  сигналов о возникновении или угрозе возникновения ЧС до органов управления и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 охвата  доведения сигналов  оповещения по нормативам оповещения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8.2.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Создание системы обеспечения вызова экстренных оперативных служб по единому номеру «112» на базе Единой дежурно-диспетчерской службы муниципального района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вызова экстренных оперативных служб по единому номеру «112» на базе ЕДДС Рамонского муниципального района.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9F3CEB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F3CE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Подпрограмма 9. «Обеспечение пассажирских перевозок по социально значимым </w:t>
            </w:r>
            <w:proofErr w:type="spellStart"/>
            <w:r w:rsidRPr="009F3CE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внутримуниципальным</w:t>
            </w:r>
            <w:proofErr w:type="spellEnd"/>
            <w:r w:rsidRPr="009F3CE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маршрутам»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9.1.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экономической устойчивости транспортных предприятий автомобильного транспорта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Регулярность движения автобусов на закрепленных за организациями пассажирского автомобильного транспорта социально значимых </w:t>
            </w:r>
            <w:proofErr w:type="spellStart"/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внутримуниципальных</w:t>
            </w:r>
            <w:proofErr w:type="spellEnd"/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 xml:space="preserve"> маршрутах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6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F0786" w:rsidRPr="009F3CEB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F3CE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11. «Формирование благоприятной инвестиционной среды»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11.1.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инвестиционной привлекательности Рамонского муниципального </w:t>
            </w: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района Воронежской области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Объём инвестиций в основной капитал в расчете на душу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154,8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развития сферы </w:t>
            </w:r>
            <w:proofErr w:type="spellStart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</w:t>
            </w:r>
            <w:proofErr w:type="spellEnd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-частного партнерства (МЧП)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</w:t>
            </w:r>
            <w:proofErr w:type="spellStart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инновационно</w:t>
            </w:r>
            <w:proofErr w:type="spellEnd"/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-активных организаций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F0786" w:rsidRPr="000F0786" w:rsidTr="00995AF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созданных рабочих мест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786" w:rsidRPr="000F0786" w:rsidRDefault="000F0786" w:rsidP="000F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lang w:eastAsia="ru-RU"/>
              </w:rPr>
              <w:t>214,6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786" w:rsidRPr="000F0786" w:rsidRDefault="000F0786" w:rsidP="000F0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7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94311" w:rsidRDefault="00794311">
      <w:pPr>
        <w:rPr>
          <w:lang w:val="x-none"/>
        </w:rPr>
      </w:pPr>
    </w:p>
    <w:p w:rsidR="00212D3B" w:rsidRPr="00A04594" w:rsidRDefault="00212D3B" w:rsidP="00212D3B">
      <w:pPr>
        <w:rPr>
          <w:lang w:val="x-none"/>
        </w:rPr>
      </w:pPr>
      <w:r w:rsidRPr="00A04594">
        <w:rPr>
          <w:lang w:val="x-none"/>
        </w:rPr>
        <w:t xml:space="preserve">* в соответствии с нормативным правовым актом об утверждении муниципальной программы </w:t>
      </w:r>
    </w:p>
    <w:p w:rsidR="00212D3B" w:rsidRDefault="00212D3B" w:rsidP="00212D3B">
      <w:pPr>
        <w:rPr>
          <w:lang w:val="x-none"/>
        </w:rPr>
      </w:pPr>
      <w:r w:rsidRPr="00A04594">
        <w:rPr>
          <w:lang w:val="x-none"/>
        </w:rPr>
        <w:t>** в соответствии с отчетными данными, представленными – ответственными исполнителями муниципальных программ в установленный срок (до 20.01.2022г.)</w:t>
      </w:r>
    </w:p>
    <w:p w:rsidR="00F74E08" w:rsidRPr="00F74E08" w:rsidRDefault="00F74E08" w:rsidP="00F74E0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74E08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Приложение 2</w:t>
      </w:r>
    </w:p>
    <w:p w:rsidR="00F74E08" w:rsidRPr="00F74E08" w:rsidRDefault="00F74E08" w:rsidP="00F74E08">
      <w:pPr>
        <w:spacing w:after="0" w:line="276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74E08" w:rsidRPr="00F74E08" w:rsidRDefault="00F74E08" w:rsidP="00F74E0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E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кассовом исполнении муниципальных программ в 2021 году</w:t>
      </w:r>
    </w:p>
    <w:p w:rsidR="00F74E08" w:rsidRPr="00F74E08" w:rsidRDefault="00F74E08" w:rsidP="00F74E0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6" w:type="dxa"/>
        <w:jc w:val="center"/>
        <w:tblLook w:val="04A0" w:firstRow="1" w:lastRow="0" w:firstColumn="1" w:lastColumn="0" w:noHBand="0" w:noVBand="1"/>
      </w:tblPr>
      <w:tblGrid>
        <w:gridCol w:w="9"/>
        <w:gridCol w:w="2689"/>
        <w:gridCol w:w="67"/>
        <w:gridCol w:w="6450"/>
        <w:gridCol w:w="1701"/>
        <w:gridCol w:w="15"/>
        <w:gridCol w:w="1675"/>
        <w:gridCol w:w="15"/>
        <w:gridCol w:w="1945"/>
        <w:gridCol w:w="40"/>
      </w:tblGrid>
      <w:tr w:rsidR="00DE366B" w:rsidRPr="00F74E08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E08" w:rsidRPr="00F74E08" w:rsidRDefault="00F74E08" w:rsidP="00F2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E08" w:rsidRPr="00F74E08" w:rsidRDefault="00F74E08" w:rsidP="00F2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08" w:rsidRPr="00F74E08" w:rsidRDefault="00F74E08" w:rsidP="00F234B2">
            <w:pPr>
              <w:jc w:val="center"/>
              <w:rPr>
                <w:rFonts w:ascii="Times New Roman" w:hAnsi="Times New Roman" w:cs="Times New Roman"/>
              </w:rPr>
            </w:pPr>
            <w:r w:rsidRPr="00F74E08">
              <w:rPr>
                <w:rFonts w:ascii="Times New Roman" w:hAnsi="Times New Roman" w:cs="Times New Roman"/>
              </w:rPr>
              <w:t>Предусмотрено бюджетной росписью, тыс. руб.*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08" w:rsidRPr="00F74E08" w:rsidRDefault="00F74E08" w:rsidP="00F234B2">
            <w:pPr>
              <w:jc w:val="center"/>
              <w:rPr>
                <w:rFonts w:ascii="Times New Roman" w:hAnsi="Times New Roman" w:cs="Times New Roman"/>
              </w:rPr>
            </w:pPr>
            <w:r w:rsidRPr="00F74E08">
              <w:rPr>
                <w:rFonts w:ascii="Times New Roman" w:hAnsi="Times New Roman" w:cs="Times New Roman"/>
              </w:rPr>
              <w:t>Кассовое исполнение, тыс. руб.*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08" w:rsidRPr="00F74E08" w:rsidRDefault="00F74E08" w:rsidP="00F234B2">
            <w:pPr>
              <w:jc w:val="center"/>
              <w:rPr>
                <w:rFonts w:ascii="Times New Roman" w:hAnsi="Times New Roman" w:cs="Times New Roman"/>
              </w:rPr>
            </w:pPr>
            <w:r w:rsidRPr="00F74E08">
              <w:rPr>
                <w:rFonts w:ascii="Times New Roman" w:hAnsi="Times New Roman" w:cs="Times New Roman"/>
              </w:rPr>
              <w:t>Уровень кассового исполнения от предусмотренного бюджетной росписью, %</w:t>
            </w:r>
          </w:p>
        </w:tc>
      </w:tr>
      <w:tr w:rsidR="000F2312" w:rsidRPr="00FC58C4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3E3E8A" w:rsidRPr="00FC58C4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3E3E8A" w:rsidRPr="00FC58C4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lang w:eastAsia="ru-RU"/>
              </w:rPr>
              <w:t>«Развитие образования Рамонского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3E8A" w:rsidRPr="00FC58C4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921 639,0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3E8A" w:rsidRPr="00FC58C4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911 455,74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3E3E8A" w:rsidRPr="00FC58C4" w:rsidRDefault="003E3E8A" w:rsidP="003E3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8C4">
              <w:rPr>
                <w:rFonts w:ascii="Times New Roman" w:hAnsi="Times New Roman" w:cs="Times New Roman"/>
                <w:b/>
                <w:bCs/>
                <w:color w:val="000000"/>
              </w:rPr>
              <w:t>98,90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«Развитие дошкольного и общего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783 849,7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774 491,5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98,81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1.1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Развитие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231 676,8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231 501,2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99,92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63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Мероприятие 1.1.1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113 744,6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105 241,3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92,52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1.2 </w:t>
            </w:r>
          </w:p>
        </w:tc>
        <w:tc>
          <w:tcPr>
            <w:tcW w:w="6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Развитие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430 195,4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429 516,2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99,84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1.2.1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8 232,9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8 232,9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08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Мероприятие 1.2.3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lang w:eastAsia="ru-RU"/>
              </w:rPr>
              <w:t>1 910,3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lang w:eastAsia="ru-RU"/>
              </w:rPr>
              <w:t>1 910,3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4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«Социализация детей-сирот и детей, нуждающихся в особой заботе государства»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14 494,0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14 262,9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98,41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92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206,0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206,0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1085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</w:t>
            </w:r>
          </w:p>
        </w:tc>
        <w:tc>
          <w:tcPr>
            <w:tcW w:w="64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423,0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423,0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627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выплат приемной семье на содержание подопечных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3 351,9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3 351,9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97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2.4.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выплаты вознаграждения, причитающегося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3 780,7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3 549,6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93,89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655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2.5.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выплат семьям опекунов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5 467,4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5 467,4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907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2.8.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1 265,0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1 265,00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976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«Развитие дополнительного образования  и воспитание детей и молодежи Рамонского муниципального района (2014-2021 годы)»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45 396,7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45 396,6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97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3.4.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кадрового потенциала  системы дополнительного образования и развития одаренности детей и молодежи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41,3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41,3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1129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3.5.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Развитие информационно-методического обеспечения системы дополнительного образования и развития одаренности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95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3.6.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Финансовое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45 237,7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45 237,7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61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«Вовлечение молодежи  в социальную практику (2014 -2021 годы)»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126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4.1.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Вовлечение молодежи в социальную практику и обеспечение поддержки научной, творческой и предпринимательской активности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21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5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организации отдыха и   оздоровления   детей и молодежи Рамонского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29 030,3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28 436,5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97,95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20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5.2.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Организация отдыха, оздоровления и занятости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1 013,0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747,2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73,76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65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5.3.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и оздоровления детей в лагерях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1 568,2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1 535,6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97,92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98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5.4.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Организация оборонно-спортивных профильных смен для подростков допризывного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301,4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289,7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96,12</w:t>
            </w:r>
          </w:p>
        </w:tc>
      </w:tr>
      <w:tr w:rsidR="000F2312" w:rsidRPr="00F74E08" w:rsidTr="00E84171">
        <w:trPr>
          <w:gridBefore w:val="1"/>
          <w:gridAfter w:val="1"/>
          <w:wBefore w:w="9" w:type="dxa"/>
          <w:wAfter w:w="40" w:type="dxa"/>
          <w:trHeight w:val="1129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5.5.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Организация профильных и тематических смен различной направленности в учреждениях отдыха и оздоровления детей и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776,9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493,3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63,50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26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5.7.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Финансовое обеспечение деятельности МКУ РДОЛ "Бобренок"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9 344,8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9 344,6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35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5.8.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МКУ "Рамонский центр развития образования и молодежных проектов"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16 026,0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16 026,0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67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ПОДПРОГРАММА 6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«Развитие физической культуры и спорта в </w:t>
            </w:r>
            <w:proofErr w:type="spellStart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Воронежской области на 2014-2024 </w:t>
            </w:r>
            <w:proofErr w:type="spellStart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43 626,7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43 626,7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85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6.1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МКУ ДО "Рамонский районный центр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12 133,0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12 133,0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1044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6.2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физкультурных и спортивных мероприятий в </w:t>
            </w:r>
            <w:proofErr w:type="spellStart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752,0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752,0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609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функционирования центра тестирования комплекса ГТО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30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6.4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(оказания услуг) спортивного комплекса "Лидер" и стадиона "Юность"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14 984,5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14 984,5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843"/>
          <w:jc w:val="center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6.5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(оказания услуг) спортивного комплекса п.</w:t>
            </w:r>
            <w:r w:rsidRPr="005C3E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ВНИИСС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1 923,0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1 923,0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57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деятельности (оказания услуг) плавательного бассейна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13 803,9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13 803,9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561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7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«Финансовое 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5231,5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8A" w:rsidRPr="003E3E8A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3E8A">
              <w:rPr>
                <w:rFonts w:ascii="Times New Roman" w:eastAsia="Times New Roman" w:hAnsi="Times New Roman" w:cs="Times New Roman"/>
                <w:bCs/>
                <w:lang w:eastAsia="ru-RU"/>
              </w:rPr>
              <w:t>5 231,5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F234B2" w:rsidRPr="00F74E08" w:rsidTr="00E84171">
        <w:trPr>
          <w:gridBefore w:val="1"/>
          <w:gridAfter w:val="1"/>
          <w:wBefore w:w="9" w:type="dxa"/>
          <w:wAfter w:w="40" w:type="dxa"/>
          <w:trHeight w:val="786"/>
          <w:jc w:val="center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3E3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7.1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E8A" w:rsidRPr="00F74E08" w:rsidRDefault="003E3E8A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деятельности отдела по образования, спорту и молодежной политике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5 231,5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8A" w:rsidRPr="00F74E08" w:rsidRDefault="003E3E8A" w:rsidP="00A3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E08">
              <w:rPr>
                <w:rFonts w:ascii="Times New Roman" w:eastAsia="Times New Roman" w:hAnsi="Times New Roman" w:cs="Times New Roman"/>
                <w:lang w:eastAsia="ru-RU"/>
              </w:rPr>
              <w:t>5 231,5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E8A" w:rsidRPr="003E3E8A" w:rsidRDefault="003E3E8A" w:rsidP="003E3E8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E8A">
              <w:rPr>
                <w:rFonts w:ascii="Times New Roman" w:hAnsi="Times New Roman" w:cs="Times New Roman"/>
                <w:bCs/>
                <w:color w:val="000000"/>
              </w:rPr>
              <w:t>100,00</w:t>
            </w:r>
          </w:p>
        </w:tc>
      </w:tr>
      <w:tr w:rsidR="00DE366B" w:rsidRPr="00FC58C4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149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DE366B" w:rsidRPr="00FC58C4" w:rsidRDefault="00DE366B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DE366B" w:rsidRPr="00FC58C4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Муниципальная программа Рамонского муниципального района Воронежской области «Развитие культуры и туризма в </w:t>
            </w:r>
            <w:proofErr w:type="spellStart"/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Рамонском</w:t>
            </w:r>
            <w:proofErr w:type="spellEnd"/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муниципальном районе Воронежской области»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DE366B" w:rsidRPr="00FC58C4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83279,19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DE366B" w:rsidRPr="00FC58C4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83231,13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DE366B" w:rsidRPr="00FC58C4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99,94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691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Рамонского муниципального района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81196,66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81148,6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99,94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987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0F2312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hAnsi="Times New Roman" w:cs="Times New Roman"/>
              </w:rPr>
              <w:t xml:space="preserve">Основное </w:t>
            </w:r>
            <w:r w:rsidRPr="000F2312">
              <w:rPr>
                <w:rFonts w:ascii="Times New Roman" w:hAnsi="Times New Roman" w:cs="Times New Roman"/>
              </w:rPr>
              <w:br/>
              <w:t>мероприятие 1.1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организации деятельности культурно-досуговых учреждений района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37993,76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37945,7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987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0F2312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hAnsi="Times New Roman" w:cs="Times New Roman"/>
              </w:rPr>
              <w:t xml:space="preserve">Основное </w:t>
            </w:r>
            <w:r w:rsidRPr="000F2312">
              <w:rPr>
                <w:rFonts w:ascii="Times New Roman" w:hAnsi="Times New Roman" w:cs="Times New Roman"/>
              </w:rPr>
              <w:br/>
              <w:t>мероприятие 1.2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развитие библиотечного обслуживания населения Рамонского муниципального района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17797,96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17797,96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845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312" w:rsidRPr="000F2312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</w:p>
          <w:p w:rsidR="00DE366B" w:rsidRPr="00DE366B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мер по сохранению и развитию дополнительного образования детей в сфере культуры Рамонского муниципального района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25159,66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25159,66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533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312" w:rsidRPr="000F2312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</w:p>
          <w:p w:rsidR="00DE366B" w:rsidRPr="00DE366B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1.4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245,28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245,28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569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туризма в </w:t>
            </w:r>
            <w:proofErr w:type="spellStart"/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Рамонском</w:t>
            </w:r>
            <w:proofErr w:type="spellEnd"/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районе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1284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некоммерческих организаций,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409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1546,53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1546,53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E366B" w:rsidRPr="00DE366B" w:rsidTr="00E84171">
        <w:tblPrEx>
          <w:jc w:val="left"/>
        </w:tblPrEx>
        <w:trPr>
          <w:gridBefore w:val="1"/>
          <w:gridAfter w:val="1"/>
          <w:wBefore w:w="9" w:type="dxa"/>
          <w:wAfter w:w="40" w:type="dxa"/>
          <w:trHeight w:val="844"/>
        </w:trPr>
        <w:tc>
          <w:tcPr>
            <w:tcW w:w="2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312" w:rsidRPr="000F2312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</w:p>
          <w:p w:rsidR="00DE366B" w:rsidRPr="00DE366B" w:rsidRDefault="000F2312" w:rsidP="000F2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6B" w:rsidRPr="00DE366B" w:rsidRDefault="00DE366B" w:rsidP="007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отдела по культуре администрации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1546,53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1546,53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6B" w:rsidRPr="00DE366B" w:rsidRDefault="00DE366B" w:rsidP="00DE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3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CC752A" w:rsidRPr="00FC58C4" w:rsidTr="00E84171">
        <w:tblPrEx>
          <w:jc w:val="left"/>
        </w:tblPrEx>
        <w:trPr>
          <w:gridBefore w:val="1"/>
          <w:wBefore w:w="9" w:type="dxa"/>
          <w:trHeight w:val="11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сельского хозяйства на территории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15 623,76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14 871,70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95,19</w:t>
            </w:r>
          </w:p>
        </w:tc>
      </w:tr>
      <w:tr w:rsidR="00CC752A" w:rsidRPr="000315CC" w:rsidTr="00E84171">
        <w:tblPrEx>
          <w:jc w:val="left"/>
        </w:tblPrEx>
        <w:trPr>
          <w:gridBefore w:val="1"/>
          <w:wBefore w:w="9" w:type="dxa"/>
          <w:trHeight w:val="8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2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proofErr w:type="spellStart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подотрасли</w:t>
            </w:r>
            <w:proofErr w:type="spellEnd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 xml:space="preserve"> животноводства, переработки и реализации продукции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532,6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532,6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C752A" w:rsidRPr="00CC752A" w:rsidTr="00E84171">
        <w:tblPrEx>
          <w:jc w:val="left"/>
        </w:tblPrEx>
        <w:trPr>
          <w:gridBefore w:val="1"/>
          <w:wBefore w:w="9" w:type="dxa"/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2.8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проведения противоэпизоотических мероприятий в </w:t>
            </w:r>
            <w:proofErr w:type="spellStart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532,6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532,6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C752A" w:rsidRPr="000315CC" w:rsidTr="00E84171">
        <w:tblPrEx>
          <w:jc w:val="left"/>
        </w:tblPrEx>
        <w:trPr>
          <w:gridBefore w:val="1"/>
          <w:wBefore w:w="9" w:type="dxa"/>
          <w:trHeight w:val="6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6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2814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2814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C752A" w:rsidRPr="00CC752A" w:rsidTr="00E84171">
        <w:tblPrEx>
          <w:jc w:val="left"/>
        </w:tblPrEx>
        <w:trPr>
          <w:gridBefore w:val="1"/>
          <w:wBefore w:w="9" w:type="dxa"/>
          <w:trHeight w:val="12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6.1.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муниципального бюджетного учреждения «Центр поддержки агропромышленного комплекса и сельских территорий Рамонского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2814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2814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100,00</w:t>
            </w:r>
          </w:p>
        </w:tc>
      </w:tr>
      <w:tr w:rsidR="00CC752A" w:rsidRPr="000315CC" w:rsidTr="00E84171">
        <w:tblPrEx>
          <w:jc w:val="left"/>
        </w:tblPrEx>
        <w:trPr>
          <w:gridBefore w:val="1"/>
          <w:wBefore w:w="9" w:type="dxa"/>
          <w:trHeight w:val="7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8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12127,16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11375,1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93,80</w:t>
            </w:r>
          </w:p>
        </w:tc>
      </w:tr>
      <w:tr w:rsidR="00CC752A" w:rsidRPr="00CC752A" w:rsidTr="00E84171">
        <w:tblPrEx>
          <w:jc w:val="left"/>
        </w:tblPrEx>
        <w:trPr>
          <w:gridBefore w:val="1"/>
          <w:wBefore w:w="9" w:type="dxa"/>
          <w:trHeight w:val="9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8.3.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Создание и развитие инфраструктуры на сельских территориях (благоустройство сельских территорий)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3746,16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2994,1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79,92</w:t>
            </w:r>
          </w:p>
        </w:tc>
      </w:tr>
      <w:tr w:rsidR="00CC752A" w:rsidRPr="00CC752A" w:rsidTr="00E84171">
        <w:tblPrEx>
          <w:jc w:val="left"/>
        </w:tblPrEx>
        <w:trPr>
          <w:gridBefore w:val="1"/>
          <w:wBefore w:w="9" w:type="dxa"/>
          <w:trHeight w:val="10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8.4.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 xml:space="preserve">"Региональный проект  "Комплексная система обращения с твердыми коммунальными отходами" "Создание развития инфраструктуры на сельских территориях" (в </w:t>
            </w:r>
            <w:proofErr w:type="spellStart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. Государственная поддержка закупки контейнеров для раздельного накопления твердых коммунальных отходов)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8381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8381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C752A" w:rsidRPr="000315CC" w:rsidTr="00E84171">
        <w:tblPrEx>
          <w:jc w:val="left"/>
        </w:tblPrEx>
        <w:trPr>
          <w:gridBefore w:val="1"/>
          <w:wBefore w:w="9" w:type="dxa"/>
          <w:trHeight w:val="11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9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условий и предпосылок для развития агропромышленного комплекса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C752A" w:rsidRPr="00CC752A" w:rsidTr="00E84171">
        <w:tblPrEx>
          <w:jc w:val="left"/>
        </w:tblPrEx>
        <w:trPr>
          <w:gridBefore w:val="1"/>
          <w:wBefore w:w="9" w:type="dxa"/>
          <w:trHeight w:val="11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9.1.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конкурсов, выставок, семинаров и прочих научно – практических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752A" w:rsidRPr="00CC752A" w:rsidRDefault="00CC752A" w:rsidP="00CC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52A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3E71AE" w:rsidRPr="00FC58C4" w:rsidTr="00E84171">
        <w:tblPrEx>
          <w:jc w:val="left"/>
        </w:tblPrEx>
        <w:trPr>
          <w:trHeight w:val="129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71AE" w:rsidRPr="00FC58C4" w:rsidRDefault="0078792D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71AE" w:rsidRPr="00FC58C4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Формирование и эффективное управление муниципальной собственностью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71AE" w:rsidRPr="00FC58C4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8420,63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71AE" w:rsidRPr="00FC58C4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8418,41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3E71AE" w:rsidRPr="00FC58C4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99,97</w:t>
            </w:r>
          </w:p>
        </w:tc>
      </w:tr>
      <w:tr w:rsidR="003E71AE" w:rsidRPr="0070418C" w:rsidTr="00E84171">
        <w:tblPrEx>
          <w:jc w:val="left"/>
        </w:tblPrEx>
        <w:trPr>
          <w:trHeight w:val="1035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муниципальной собственностью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3008,03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3005,95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</w:tr>
      <w:tr w:rsidR="00B74DD1" w:rsidRPr="003E71AE" w:rsidTr="00E84171">
        <w:tblPrEx>
          <w:jc w:val="left"/>
        </w:tblPrEx>
        <w:trPr>
          <w:trHeight w:val="977"/>
        </w:trPr>
        <w:tc>
          <w:tcPr>
            <w:tcW w:w="26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управления муниципальным имуществом и земельными ресурсами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3008,03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3005,95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</w:tr>
      <w:tr w:rsidR="00B74DD1" w:rsidRPr="003E71AE" w:rsidTr="00E84171">
        <w:tblPrEx>
          <w:jc w:val="left"/>
        </w:tblPrEx>
        <w:trPr>
          <w:trHeight w:val="542"/>
        </w:trPr>
        <w:tc>
          <w:tcPr>
            <w:tcW w:w="26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Финансовое обеспечение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5412,6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5412,47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B74DD1" w:rsidRPr="003E71AE" w:rsidTr="00E84171">
        <w:tblPrEx>
          <w:jc w:val="left"/>
        </w:tblPrEx>
        <w:trPr>
          <w:trHeight w:val="1020"/>
        </w:trPr>
        <w:tc>
          <w:tcPr>
            <w:tcW w:w="26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3.1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отдела имущественных и земельных отношений администрации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5412,6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5412,47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71AE" w:rsidRPr="003E71AE" w:rsidRDefault="003E71AE" w:rsidP="003E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71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43307" w:rsidRPr="009A2531" w:rsidTr="00E84171">
        <w:tblPrEx>
          <w:jc w:val="left"/>
        </w:tblPrEx>
        <w:trPr>
          <w:trHeight w:val="1284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225 071,8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218 125,6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96,91</w:t>
            </w:r>
          </w:p>
        </w:tc>
      </w:tr>
      <w:tr w:rsidR="00043307" w:rsidRPr="009A2531" w:rsidTr="00E84171">
        <w:tblPrEx>
          <w:jc w:val="left"/>
        </w:tblPrEx>
        <w:trPr>
          <w:trHeight w:val="773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управления муниципальными финансами и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15 424,1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15 404,1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99.87</w:t>
            </w:r>
          </w:p>
        </w:tc>
      </w:tr>
      <w:tr w:rsidR="00043307" w:rsidRPr="009A2531" w:rsidTr="00E84171">
        <w:tblPrEx>
          <w:jc w:val="left"/>
        </w:tblPrEx>
        <w:trPr>
          <w:trHeight w:val="1196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1.4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резервным фондом  администрации муниципального района и иными средствами на исполнение расходных обязательств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15 424,1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15 404,1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</w:tr>
      <w:tr w:rsidR="00043307" w:rsidRPr="009A2531" w:rsidTr="00E84171">
        <w:tblPrEx>
          <w:jc w:val="left"/>
        </w:tblPrEx>
        <w:trPr>
          <w:trHeight w:val="987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устойчивости бюджетов поселений Рамонского муниципального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202 814,9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195 900,3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96,59</w:t>
            </w:r>
          </w:p>
        </w:tc>
      </w:tr>
      <w:tr w:rsidR="00043307" w:rsidRPr="009A2531" w:rsidTr="00E84171">
        <w:tblPrEx>
          <w:jc w:val="left"/>
        </w:tblPrEx>
        <w:trPr>
          <w:trHeight w:val="725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Выравнивание бюджетной обеспеченности поселений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33 843,0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33 843,0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043307" w:rsidRPr="009A2531" w:rsidTr="00E84171">
        <w:tblPrEx>
          <w:jc w:val="left"/>
        </w:tblPrEx>
        <w:trPr>
          <w:trHeight w:val="945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мер по обеспечению сбалансированности бюджетов поселений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16 610,0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16 610,0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043307" w:rsidRPr="009A2531" w:rsidTr="00E84171">
        <w:tblPrEx>
          <w:jc w:val="left"/>
        </w:tblPrEx>
        <w:trPr>
          <w:trHeight w:val="741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2.5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повышению качества орган</w:t>
            </w:r>
            <w:r w:rsidR="00616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изации и осуществления  бюджет</w:t>
            </w: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процесса поселений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540,0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043307" w:rsidRPr="009A2531" w:rsidTr="00E84171">
        <w:tblPrEx>
          <w:jc w:val="left"/>
        </w:tblPrEx>
        <w:trPr>
          <w:trHeight w:val="1878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2.6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за счет иных межбюджетных трансфертов, выделяемых из других бюджетов бюджетной  системы РФ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150 655,3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143 741,9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95,41</w:t>
            </w:r>
          </w:p>
        </w:tc>
      </w:tr>
      <w:tr w:rsidR="00043307" w:rsidRPr="009A2531" w:rsidTr="00E84171">
        <w:tblPrEx>
          <w:jc w:val="left"/>
        </w:tblPrEx>
        <w:trPr>
          <w:trHeight w:val="51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2.7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проект «Чистая вода»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1 166,6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1 165,4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043307" w:rsidRPr="009A2531" w:rsidTr="00E84171">
        <w:tblPrEx>
          <w:jc w:val="left"/>
        </w:tblPrEx>
        <w:trPr>
          <w:trHeight w:val="431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6 832,8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6 821,2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99,83</w:t>
            </w:r>
          </w:p>
        </w:tc>
      </w:tr>
      <w:tr w:rsidR="00043307" w:rsidRPr="009A2531" w:rsidTr="00E84171">
        <w:tblPrEx>
          <w:jc w:val="left"/>
        </w:tblPrEx>
        <w:trPr>
          <w:trHeight w:val="909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отдела по финансам, иных главных распорядителей  средств районного  бюджета – исполнителей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6 832,8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6 821,2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531" w:rsidRPr="009A2531" w:rsidRDefault="009A2531" w:rsidP="009A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99,83</w:t>
            </w:r>
          </w:p>
        </w:tc>
      </w:tr>
      <w:tr w:rsidR="00B74DD1" w:rsidRPr="00FC58C4" w:rsidTr="00E84171">
        <w:tblPrEx>
          <w:jc w:val="left"/>
        </w:tblPrEx>
        <w:trPr>
          <w:trHeight w:val="1493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B74DD1" w:rsidRPr="00FC58C4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B74DD1" w:rsidRPr="00FC58C4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управление Рамонского муниципального района Воронежской области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74DD1" w:rsidRPr="00FC58C4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80 694,30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74DD1" w:rsidRPr="00FC58C4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79 704,40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74DD1" w:rsidRPr="00FC58C4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98,8</w:t>
            </w:r>
          </w:p>
        </w:tc>
      </w:tr>
      <w:tr w:rsidR="00B74DD1" w:rsidRPr="00B74DD1" w:rsidTr="00E84171">
        <w:tblPrEx>
          <w:jc w:val="left"/>
        </w:tblPrEx>
        <w:trPr>
          <w:trHeight w:val="609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1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муниципального управления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16 185,40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15 800,40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97,6</w:t>
            </w:r>
          </w:p>
        </w:tc>
      </w:tr>
      <w:tr w:rsidR="00B74DD1" w:rsidRPr="00B74DD1" w:rsidTr="00E84171">
        <w:tblPrEx>
          <w:jc w:val="left"/>
        </w:tblPrEx>
        <w:trPr>
          <w:trHeight w:val="1128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AD75E0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1.2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414,00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B74DD1" w:rsidRPr="00B74DD1" w:rsidTr="00E84171">
        <w:tblPrEx>
          <w:jc w:val="left"/>
        </w:tblPrEx>
        <w:trPr>
          <w:trHeight w:val="1215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государственных полномочий по созданию и организации деятельности административных комиссий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381,0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381,0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B74DD1" w:rsidRPr="00B74DD1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1.5</w:t>
            </w:r>
          </w:p>
        </w:tc>
        <w:tc>
          <w:tcPr>
            <w:tcW w:w="6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других расходных обязательств муниципального района органами местного самоуправления, иными главными распорядителями средств районн</w:t>
            </w:r>
            <w:r w:rsidR="003B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ого бюджета - исполнителями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7 857,60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7 595,90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96,7</w:t>
            </w:r>
          </w:p>
        </w:tc>
      </w:tr>
      <w:tr w:rsidR="00043307" w:rsidRPr="00B74DD1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74DD1" w:rsidRPr="00B74DD1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1.6</w:t>
            </w:r>
          </w:p>
        </w:tc>
        <w:tc>
          <w:tcPr>
            <w:tcW w:w="6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субсидии СОНКО на обеспечение деятельности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940,0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940,0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043307" w:rsidRPr="00B74DD1" w:rsidTr="00E84171">
        <w:tblPrEx>
          <w:jc w:val="left"/>
        </w:tblPrEx>
        <w:trPr>
          <w:trHeight w:val="253"/>
        </w:trPr>
        <w:tc>
          <w:tcPr>
            <w:tcW w:w="2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74DD1" w:rsidRPr="00B74DD1" w:rsidTr="00E84171">
        <w:tblPrEx>
          <w:jc w:val="left"/>
        </w:tblPrEx>
        <w:trPr>
          <w:trHeight w:val="51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1.7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средств массовой информации 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709,00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585,70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82,6</w:t>
            </w:r>
          </w:p>
        </w:tc>
      </w:tr>
      <w:tr w:rsidR="00B74DD1" w:rsidRPr="00B74DD1" w:rsidTr="00E84171">
        <w:tblPrEx>
          <w:jc w:val="left"/>
        </w:tblPrEx>
        <w:trPr>
          <w:trHeight w:val="585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1.8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на конкурсной основе грантов в форме субсидий СОНКО на реализацию программ (проектов)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930,00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B74DD1" w:rsidRPr="00B74DD1" w:rsidTr="00E84171">
        <w:tblPrEx>
          <w:jc w:val="left"/>
        </w:tblPrEx>
        <w:trPr>
          <w:trHeight w:val="54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1.9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Поощрение проектов, реализуемых в рамках ТОС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4 953,80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4 953,80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B74DD1" w:rsidRPr="00B74DD1" w:rsidTr="00E84171">
        <w:tblPrEx>
          <w:jc w:val="left"/>
        </w:tblPrEx>
        <w:trPr>
          <w:trHeight w:val="51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3B4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2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материально-технического  обеспечения деятельности администрации муниципального района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37 772,00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37 244,40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98,6</w:t>
            </w:r>
          </w:p>
        </w:tc>
      </w:tr>
      <w:tr w:rsidR="00B74DD1" w:rsidRPr="00B74DD1" w:rsidTr="00E84171">
        <w:tblPrEx>
          <w:jc w:val="left"/>
        </w:tblPrEx>
        <w:trPr>
          <w:trHeight w:val="825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2.2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деятельности МКУ «ЦОД ОМСУ»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37 772,0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37 244,4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98,6</w:t>
            </w:r>
          </w:p>
        </w:tc>
      </w:tr>
      <w:tr w:rsidR="00B74DD1" w:rsidRPr="00B74DD1" w:rsidTr="00E84171">
        <w:tblPrEx>
          <w:jc w:val="left"/>
        </w:tblPrEx>
        <w:trPr>
          <w:trHeight w:val="503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3B4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5</w:t>
            </w: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 </w:t>
            </w: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 </w:t>
            </w: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26 736,90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26 659,60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99,7</w:t>
            </w:r>
          </w:p>
        </w:tc>
      </w:tr>
      <w:tr w:rsidR="00B74DD1" w:rsidRPr="00B74DD1" w:rsidTr="00E84171">
        <w:tblPrEx>
          <w:jc w:val="left"/>
        </w:tblPrEx>
        <w:trPr>
          <w:trHeight w:val="510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1411B" w:rsidP="003B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41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</w:t>
            </w:r>
            <w:r w:rsidR="00B74DD1"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6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администрации муниципального района, иных получателей средств рай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онного бюджета-исполнителей 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26 736,9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26 659,6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</w:tr>
      <w:tr w:rsidR="00AD75E0" w:rsidRPr="00B74DD1" w:rsidTr="00E84171">
        <w:tblPrEx>
          <w:jc w:val="left"/>
        </w:tblPrEx>
        <w:trPr>
          <w:trHeight w:val="370"/>
        </w:trPr>
        <w:tc>
          <w:tcPr>
            <w:tcW w:w="2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DD1" w:rsidRPr="00B74DD1" w:rsidTr="00E84171">
        <w:tblPrEx>
          <w:jc w:val="left"/>
        </w:tblPrEx>
        <w:trPr>
          <w:trHeight w:val="390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3B4B3D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</w:t>
            </w:r>
            <w:r w:rsidR="00B74DD1"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5.2</w:t>
            </w:r>
          </w:p>
        </w:tc>
        <w:tc>
          <w:tcPr>
            <w:tcW w:w="6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обеспечение деятельности подведомственных учреждений МКУ «Рамонский архив» </w:t>
            </w: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2 339,30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2 333,90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99,8</w:t>
            </w:r>
          </w:p>
        </w:tc>
      </w:tr>
      <w:tr w:rsidR="00AD75E0" w:rsidRPr="00B74DD1" w:rsidTr="00E84171">
        <w:tblPrEx>
          <w:jc w:val="left"/>
        </w:tblPrEx>
        <w:trPr>
          <w:trHeight w:val="253"/>
        </w:trPr>
        <w:tc>
          <w:tcPr>
            <w:tcW w:w="269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DD1" w:rsidRPr="00B74DD1" w:rsidRDefault="00B74DD1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74DD1" w:rsidRPr="00B74DD1" w:rsidTr="00E84171">
        <w:tblPrEx>
          <w:jc w:val="left"/>
        </w:tblPrEx>
        <w:trPr>
          <w:trHeight w:val="495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3B4B3D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</w:t>
            </w:r>
            <w:r w:rsidR="00B74DD1"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5.3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пенсии за выслугу лет лицам, замещавшим выборные  муниципальные должности и должности муниципальной службы в органах местного самоуп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равления муниципального района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4 832,20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4 832,10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B74DD1" w:rsidRPr="00B74DD1" w:rsidTr="00E84171">
        <w:tblPrEx>
          <w:jc w:val="left"/>
        </w:tblPrEx>
        <w:trPr>
          <w:trHeight w:val="881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3B4B3D" w:rsidP="00B7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</w:t>
            </w:r>
            <w:r w:rsidR="00B74DD1"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5.5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B74DD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мер социальной поддержки граждан, имеющих звание «Почетный гражданин Рамонского муниципальн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 района Воронежской области»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504,00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</w:tr>
      <w:tr w:rsidR="00B74DD1" w:rsidRPr="00B74DD1" w:rsidTr="00E84171">
        <w:tblPrEx>
          <w:jc w:val="left"/>
        </w:tblPrEx>
        <w:trPr>
          <w:trHeight w:val="756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3B4B3D" w:rsidP="003B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</w:t>
            </w:r>
            <w:r w:rsidR="00B74DD1"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5.6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подведомственн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 учреждений МКУ «ЦБП»</w:t>
            </w:r>
            <w:r w:rsidR="00AD7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875,40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875,40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DD1" w:rsidRPr="00B74DD1" w:rsidRDefault="00B74DD1" w:rsidP="00AD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4DD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043307" w:rsidRPr="00FC58C4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043307" w:rsidRPr="00FC58C4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043307" w:rsidRPr="00FC58C4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благоприятных условий для населения Рамонского муниципаль</w:t>
            </w:r>
            <w:r w:rsidR="0078792D"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ного района Воронежской области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043307" w:rsidRPr="00FC58C4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47 119,39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043307" w:rsidRPr="00FC58C4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47 113,52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043307" w:rsidRPr="00FC58C4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99,99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 xml:space="preserve">"Развитие и поддержка малого и среднего предпринимательства в </w:t>
            </w:r>
            <w:proofErr w:type="spellStart"/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Рамонском</w:t>
            </w:r>
            <w:proofErr w:type="spellEnd"/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Воронежской области"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23058,1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23058,04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поддержки предпринимательства.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субъектов малого и среднего предпринимательства.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20458,1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20458,04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1.5.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2250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2250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2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"Обеспечение доступным и комфортным жильем и коммунальными услугами населения Рамонского муниципального района Воронежской области"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23159,14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23159,1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 молодых семей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10819,2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10819,2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2.4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Реформирование и модернизация ЖКХ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12339,94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12339,9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4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"Энергосбережение на территории Рамонского муниципального района Воронежской области 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4.3.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Замена/установка современных окон с многокамерными стеклопакетами, входных групп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6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"Профилактика правонарушений в </w:t>
            </w:r>
            <w:proofErr w:type="spellStart"/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Рамонском</w:t>
            </w:r>
            <w:proofErr w:type="spellEnd"/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муниципальном районе Воронежской области"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111,84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111,84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6.1.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асоциального поведения граждан в рамках осуществления общественно- массовой и культурно-просветительской деятельности учреждений культуры 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20,89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20,89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6.2.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Профилактика и предупреждение детского дорожно-транспортного травматизма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6.3.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Проведение рейдов с целью посещения и выявления семей социального риска и несовершеннолетних, ведущих асоциальный образ жизни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6.4.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межведомственной комплексной профилактической акции «Без наркотиков» на базе образовательных организаций района и летних оздоровительных лагерей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6.5.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Обеспечение участия подростков, состоящих на учете в органах и учреждениях системы профилактики безнадзорности и правонарушений несовершеннолетних, в работе областного специализированного лагеря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5,95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5,95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720"/>
        </w:trPr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6.6.</w:t>
            </w:r>
          </w:p>
        </w:tc>
        <w:tc>
          <w:tcPr>
            <w:tcW w:w="6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Изготовление и распространение печатной продукции, направленной на профилактику асоциального поведения несовершеннолетних и пропаганду здорового образа жизни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6.7.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Производство и размещение в общественных местах наружной рекламы по проблемам асоциального поведения граждан, пропаганде здорового образа жизни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8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"Защита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182,01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180,49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99,16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8.1.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Развитие и модернизация системы защиты  населения от угроз чрезвычайных ситуаций и пожаров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52,01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52,01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8.2.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Создание системы обеспечения вызова экстренных оперативных служб по единому номеру «112» на базе Единой дежурно-диспетчерской службы муниципального района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128,48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98,83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9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"Обеспечение пассажирских перевозок по социально значимым </w:t>
            </w:r>
            <w:proofErr w:type="spellStart"/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внутримуниципальным</w:t>
            </w:r>
            <w:proofErr w:type="spellEnd"/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маршрутам"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108,3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104,05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bCs/>
                <w:lang w:eastAsia="ru-RU"/>
              </w:rPr>
              <w:t>96,08</w:t>
            </w:r>
          </w:p>
        </w:tc>
      </w:tr>
      <w:tr w:rsidR="00043307" w:rsidRPr="00043307" w:rsidTr="00E84171">
        <w:tblPrEx>
          <w:jc w:val="left"/>
        </w:tblPrEx>
        <w:trPr>
          <w:trHeight w:val="300"/>
        </w:trPr>
        <w:tc>
          <w:tcPr>
            <w:tcW w:w="2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9.1.</w:t>
            </w:r>
          </w:p>
        </w:tc>
        <w:tc>
          <w:tcPr>
            <w:tcW w:w="6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Обеспечение экономической устойчивости транспортных предприятий автомобильного транспорта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104,05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307" w:rsidRPr="00043307" w:rsidRDefault="00043307" w:rsidP="0004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307">
              <w:rPr>
                <w:rFonts w:ascii="Times New Roman" w:eastAsia="Times New Roman" w:hAnsi="Times New Roman" w:cs="Times New Roman"/>
                <w:lang w:eastAsia="ru-RU"/>
              </w:rPr>
              <w:t>96,08</w:t>
            </w:r>
          </w:p>
        </w:tc>
      </w:tr>
    </w:tbl>
    <w:p w:rsidR="003E71AE" w:rsidRPr="00F74E08" w:rsidRDefault="003E71AE" w:rsidP="00212D3B"/>
    <w:sectPr w:rsidR="003E71AE" w:rsidRPr="00F74E08" w:rsidSect="00AD75E0">
      <w:pgSz w:w="16838" w:h="11906" w:orient="landscape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84"/>
    <w:rsid w:val="00001239"/>
    <w:rsid w:val="00002225"/>
    <w:rsid w:val="000132C9"/>
    <w:rsid w:val="000315CC"/>
    <w:rsid w:val="00043307"/>
    <w:rsid w:val="00057A3D"/>
    <w:rsid w:val="000C7752"/>
    <w:rsid w:val="000F0786"/>
    <w:rsid w:val="000F2312"/>
    <w:rsid w:val="000F3413"/>
    <w:rsid w:val="0016406F"/>
    <w:rsid w:val="001B7902"/>
    <w:rsid w:val="00212D3B"/>
    <w:rsid w:val="002824A4"/>
    <w:rsid w:val="002F635C"/>
    <w:rsid w:val="003008C0"/>
    <w:rsid w:val="003B4B3D"/>
    <w:rsid w:val="003B785D"/>
    <w:rsid w:val="003E16A9"/>
    <w:rsid w:val="003E3E8A"/>
    <w:rsid w:val="003E578E"/>
    <w:rsid w:val="003E71AE"/>
    <w:rsid w:val="003F67C4"/>
    <w:rsid w:val="00402C33"/>
    <w:rsid w:val="004B29A5"/>
    <w:rsid w:val="004D2CA0"/>
    <w:rsid w:val="004F0218"/>
    <w:rsid w:val="005C3E19"/>
    <w:rsid w:val="005D518D"/>
    <w:rsid w:val="00607798"/>
    <w:rsid w:val="0061684E"/>
    <w:rsid w:val="006F3F27"/>
    <w:rsid w:val="0070418C"/>
    <w:rsid w:val="00752A1D"/>
    <w:rsid w:val="007642F4"/>
    <w:rsid w:val="0078792D"/>
    <w:rsid w:val="00794311"/>
    <w:rsid w:val="00820361"/>
    <w:rsid w:val="008822E7"/>
    <w:rsid w:val="00893DBE"/>
    <w:rsid w:val="0090426C"/>
    <w:rsid w:val="009340F9"/>
    <w:rsid w:val="00982FB3"/>
    <w:rsid w:val="00995AF3"/>
    <w:rsid w:val="009A2531"/>
    <w:rsid w:val="009F3CEB"/>
    <w:rsid w:val="00A04594"/>
    <w:rsid w:val="00A21312"/>
    <w:rsid w:val="00A30EAD"/>
    <w:rsid w:val="00A718D6"/>
    <w:rsid w:val="00AD21DA"/>
    <w:rsid w:val="00AD75E0"/>
    <w:rsid w:val="00B06CBA"/>
    <w:rsid w:val="00B1411B"/>
    <w:rsid w:val="00B15F6F"/>
    <w:rsid w:val="00B3689C"/>
    <w:rsid w:val="00B74DD1"/>
    <w:rsid w:val="00BA3855"/>
    <w:rsid w:val="00C14FA5"/>
    <w:rsid w:val="00C170CE"/>
    <w:rsid w:val="00C33CD2"/>
    <w:rsid w:val="00CC2AF6"/>
    <w:rsid w:val="00CC752A"/>
    <w:rsid w:val="00CF0B46"/>
    <w:rsid w:val="00D13E41"/>
    <w:rsid w:val="00DE366B"/>
    <w:rsid w:val="00DF43CF"/>
    <w:rsid w:val="00E1534D"/>
    <w:rsid w:val="00E84171"/>
    <w:rsid w:val="00ED0C14"/>
    <w:rsid w:val="00F234B2"/>
    <w:rsid w:val="00F70551"/>
    <w:rsid w:val="00F74E08"/>
    <w:rsid w:val="00F8771B"/>
    <w:rsid w:val="00FC58C4"/>
    <w:rsid w:val="00FE2BDD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8D4C3"/>
  <w15:chartTrackingRefBased/>
  <w15:docId w15:val="{7C193ED4-BE8F-448A-9289-B005F207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9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5E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5E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5E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75E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75E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D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7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62</Pages>
  <Words>8981</Words>
  <Characters>51197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76</cp:revision>
  <cp:lastPrinted>2022-04-05T14:23:00Z</cp:lastPrinted>
  <dcterms:created xsi:type="dcterms:W3CDTF">2022-03-24T14:55:00Z</dcterms:created>
  <dcterms:modified xsi:type="dcterms:W3CDTF">2022-04-06T14:45:00Z</dcterms:modified>
</cp:coreProperties>
</file>