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Спортивный клуб Рамони</w:t>
      </w:r>
      <w:r>
        <w:rPr>
          <w:rFonts w:ascii="Times New Roman" w:hAnsi="Times New Roman" w:cs="Times New Roman"/>
          <w:sz w:val="24"/>
          <w:szCs w:val="24"/>
        </w:rPr>
        <w:t xml:space="preserve">» (АНО «</w:t>
      </w:r>
      <w:r>
        <w:rPr>
          <w:rFonts w:ascii="Times New Roman" w:hAnsi="Times New Roman" w:cs="Times New Roman"/>
          <w:sz w:val="24"/>
          <w:szCs w:val="24"/>
        </w:rPr>
        <w:t xml:space="preserve">Спортивный клуб Рамони</w:t>
      </w:r>
      <w:r>
        <w:rPr>
          <w:rFonts w:ascii="Times New Roman" w:hAnsi="Times New Roman" w:cs="Times New Roman"/>
          <w:sz w:val="24"/>
          <w:szCs w:val="24"/>
        </w:rPr>
        <w:t xml:space="preserve">»)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396005, Воронежская область, Рамонский район, </w:t>
      </w:r>
      <w:r>
        <w:rPr>
          <w:rFonts w:ascii="Times New Roman" w:hAnsi="Times New Roman" w:cs="Times New Roman"/>
          <w:sz w:val="24"/>
          <w:szCs w:val="24"/>
        </w:rPr>
        <w:t xml:space="preserve">р.п. Рамонь, ул 50 лет Октября 7В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7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– </w:t>
      </w:r>
      <w:r>
        <w:rPr>
          <w:rFonts w:ascii="Times New Roman" w:hAnsi="Times New Roman" w:cs="Times New Roman"/>
          <w:sz w:val="24"/>
          <w:szCs w:val="24"/>
        </w:rPr>
        <w:t xml:space="preserve">Мезенцев Денис </w:t>
      </w:r>
      <w:r>
        <w:rPr>
          <w:rFonts w:ascii="Times New Roman" w:hAnsi="Times New Roman" w:cs="Times New Roman"/>
          <w:sz w:val="24"/>
          <w:szCs w:val="24"/>
        </w:rPr>
        <w:t xml:space="preserve">Леонидович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</w:t>
      </w:r>
      <w:r>
        <w:rPr>
          <w:rFonts w:ascii="Times New Roman" w:hAnsi="Times New Roman" w:cs="Times New Roman"/>
          <w:sz w:val="24"/>
          <w:szCs w:val="24"/>
        </w:rPr>
        <w:t xml:space="preserve">.: +7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952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100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den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mezentsev</w:t>
      </w:r>
      <w:r>
        <w:rPr>
          <w:rFonts w:ascii="Times New Roman" w:hAnsi="Times New Roman" w:cs="Times New Roman"/>
          <w:sz w:val="24"/>
          <w:szCs w:val="24"/>
        </w:rPr>
        <w:t xml:space="preserve">2013@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yandex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на конкурс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по распределению грантов в форме субсидий социально ориентированным некоммерческим организациям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zh-CN"/>
        </w:rPr>
        <w:t xml:space="preserve">проводимый администрацией Рамонского муниципального района Воронежской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в рамках реализации муниципальной программы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zh-CN"/>
        </w:rPr>
        <w:t xml:space="preserve">Рамонского муниципального района Воронежской области «Муниципальное управление Рамонского муниципальн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zh-CN"/>
        </w:rPr>
        <w:t xml:space="preserve">ого района Воронежской области».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r>
    </w:p>
    <w:p>
      <w:pPr>
        <w:pStyle w:val="7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rPr>
          <w:rFonts w:ascii="Times New Roman" w:hAnsi="Times New Roman" w:cs="Times New Roman"/>
          <w:sz w:val="24"/>
          <w:szCs w:val="24"/>
        </w:rPr>
      </w:pPr>
      <w:r/>
      <w:bookmarkStart w:id="0" w:name="P29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ПРОЕКТ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СПОРТ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ОБЪЕДИНЯЕТ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!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yellow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Период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реализации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проекта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 месяц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ев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r>
    </w:p>
    <w:p>
      <w:pPr>
        <w:ind w:left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Общая стоимость проекта 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58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000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руб.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апрашиваемый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бъем гранта в форме субсидии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1 50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  <w:t xml:space="preserve">0 000 руб.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r>
    </w:p>
    <w:p>
      <w:pPr>
        <w:ind w:left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Рамонь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– 202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2. Паспорт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проекта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tbl>
      <w:tblPr>
        <w:tblW w:w="0" w:type="auto"/>
        <w:tblInd w:w="49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4"/>
        <w:gridCol w:w="6814"/>
      </w:tblGrid>
      <w:tr>
        <w:tblPrEx/>
        <w:trPr>
          <w:trHeight w:val="374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Наименование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14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Спорт объединяет!</w:t>
            </w:r>
            <w:r>
              <w:rPr>
                <w:color w:val="00000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Наименование приоритетного направления муниципальной поддержки, которому соответствует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проект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14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Деятельность в области дополнительного образования, просвещения, науки, культуры, искусства, в том числе развитие научно-техническо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го и художественного творчества,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в том числе содействие указанной деятельности.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Исполнитель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14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Автономная некоммерческая организация "Спортивный клуб Рамони"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313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Цели и задачи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14" w:type="dxa"/>
            <w:textDirection w:val="lrTb"/>
            <w:noWrap w:val="false"/>
          </w:tcPr>
          <w:p>
            <w:pPr>
              <w:ind w:left="0"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Цели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numPr>
                <w:ilvl w:val="0"/>
                <w:numId w:val="3"/>
              </w:numPr>
              <w:ind w:hanging="51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массовое привлечение детей,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подростков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 занятиям физической культурой через создание тренировочного процесса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спортивно – массовых мероприятий, мастер классов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активной среды для развития и популяризации здорового образа жизни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numPr>
                <w:ilvl w:val="0"/>
                <w:numId w:val="3"/>
              </w:numPr>
              <w:ind w:hanging="51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содействие жителям Рамонского муниципального района из числа социально уязвимых и нуждающихся категорий населения в дополнительной социальной помощи в организации их продуктивной досуговой деятельности;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numPr>
                <w:ilvl w:val="0"/>
                <w:numId w:val="3"/>
              </w:numPr>
              <w:ind w:hanging="51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помощь в определении дальнейшей организации досуга для родителей и их детей.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 w:firstLine="70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Задачи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pStyle w:val="747"/>
              <w:numPr>
                <w:ilvl w:val="0"/>
                <w:numId w:val="27"/>
              </w:numPr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тренировочного процесса для участников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pStyle w:val="747"/>
              <w:numPr>
                <w:ilvl w:val="0"/>
                <w:numId w:val="27"/>
              </w:numPr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формирование комплексного представления о различных видах спорта у участников проекта;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pStyle w:val="747"/>
              <w:numPr>
                <w:ilvl w:val="0"/>
                <w:numId w:val="27"/>
              </w:numPr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активности 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жителей Рамонского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полученного опыта, базовых знаний и навыков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pStyle w:val="747"/>
              <w:numPr>
                <w:ilvl w:val="0"/>
                <w:numId w:val="27"/>
              </w:numPr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анизация спортивных мероприятий, мастер 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турниров.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40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Важнейшие целевые индикаторы и показатели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14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67" w:firstLine="0"/>
              <w:tabs>
                <w:tab w:val="left" w:pos="3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Количество жителей Рамонского муниципального района, получивших услуги в сфере спорта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не менее 500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чел.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numPr>
                <w:ilvl w:val="0"/>
                <w:numId w:val="14"/>
              </w:numPr>
              <w:ind w:left="67" w:firstLine="0"/>
              <w:tabs>
                <w:tab w:val="left" w:pos="3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Количество волонтеров, принявших участие в проекте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чел.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numPr>
                <w:ilvl w:val="0"/>
                <w:numId w:val="14"/>
              </w:numPr>
              <w:ind w:left="67" w:firstLine="0"/>
              <w:tabs>
                <w:tab w:val="left" w:pos="3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Количество организованных турниров для спортсменов района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шт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, спорти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вных мероприятий --3 шт,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numPr>
                <w:ilvl w:val="0"/>
                <w:numId w:val="14"/>
              </w:numPr>
              <w:ind w:left="67" w:firstLine="0"/>
              <w:tabs>
                <w:tab w:val="left" w:pos="3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Количество занятий на одной площадке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numPr>
                <w:ilvl w:val="0"/>
                <w:numId w:val="14"/>
              </w:numPr>
              <w:ind w:left="67" w:firstLine="0"/>
              <w:tabs>
                <w:tab w:val="left" w:pos="37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Информация о проекте, размещенная в СМИ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– 10 шт.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Сроки и этапы реализации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14" w:type="dxa"/>
            <w:textDirection w:val="lrTb"/>
            <w:noWrap w:val="false"/>
          </w:tcPr>
          <w:p>
            <w:pPr>
              <w:ind w:left="0"/>
              <w:widowControl w:val="off"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Организация встреч с населением и руководителями образовательных организаций Рамонского муниципального района: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1сентября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г.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ноября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tabs>
                <w:tab w:val="left" w:pos="20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Набор участников: 01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– 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сентября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widowControl w:val="off"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Организация турниров по видам спорта 01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сентября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widowControl w:val="off"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Организация спортивн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ых мероприятий с 01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сентября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г.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по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июня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400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Перечень основных мероприятий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14" w:type="dxa"/>
            <w:textDirection w:val="lrTb"/>
            <w:noWrap w:val="false"/>
          </w:tcPr>
          <w:p>
            <w:pPr>
              <w:pStyle w:val="733"/>
              <w:numPr>
                <w:ilvl w:val="0"/>
                <w:numId w:val="13"/>
              </w:numPr>
              <w:ind w:left="204" w:hanging="142"/>
              <w:jc w:val="both"/>
              <w:tabs>
                <w:tab w:val="left" w:pos="308" w:leader="none"/>
                <w:tab w:val="left" w:pos="492" w:leader="none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Деятельность по формированию рабочей группы проекта. Разработка положения о проекте и необходимых для реализации документов.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01.0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-01.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</w:p>
          <w:p>
            <w:pPr>
              <w:pStyle w:val="733"/>
              <w:numPr>
                <w:ilvl w:val="0"/>
                <w:numId w:val="13"/>
              </w:numPr>
              <w:ind w:left="75" w:firstLine="0"/>
              <w:jc w:val="both"/>
              <w:tabs>
                <w:tab w:val="left" w:pos="308" w:leader="none"/>
                <w:tab w:val="left" w:pos="492" w:leader="none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Деятельность по привлечению представителей бизнеса, органов местного самоуправления для участия в проекте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01.0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-01.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</w:p>
          <w:p>
            <w:pPr>
              <w:pStyle w:val="733"/>
              <w:numPr>
                <w:ilvl w:val="0"/>
                <w:numId w:val="13"/>
              </w:numPr>
              <w:ind w:left="75" w:firstLine="0"/>
              <w:jc w:val="both"/>
              <w:tabs>
                <w:tab w:val="left" w:pos="308" w:leader="none"/>
                <w:tab w:val="left" w:pos="492" w:leader="none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Информирование жител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ей Рамонского района о проекте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-01.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</w:p>
          <w:p>
            <w:pPr>
              <w:pStyle w:val="733"/>
              <w:numPr>
                <w:ilvl w:val="0"/>
                <w:numId w:val="13"/>
              </w:numPr>
              <w:ind w:left="75" w:firstLine="0"/>
              <w:jc w:val="both"/>
              <w:tabs>
                <w:tab w:val="left" w:pos="308" w:leader="none"/>
                <w:tab w:val="left" w:pos="492" w:leader="none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Организация встреч с населением и руководителями организаций Рамонского муниципального района с целью информирования и привл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ечения к участию в проекте 01.0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-01.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</w:p>
          <w:p>
            <w:pPr>
              <w:pStyle w:val="733"/>
              <w:ind w:left="75"/>
              <w:jc w:val="both"/>
              <w:tabs>
                <w:tab w:val="left" w:pos="308" w:leader="none"/>
                <w:tab w:val="left" w:pos="492" w:leader="none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</w:p>
          <w:p>
            <w:pPr>
              <w:pStyle w:val="733"/>
              <w:numPr>
                <w:ilvl w:val="0"/>
                <w:numId w:val="13"/>
              </w:numPr>
              <w:ind w:left="75" w:firstLine="0"/>
              <w:jc w:val="both"/>
              <w:tabs>
                <w:tab w:val="left" w:pos="308" w:leader="none"/>
                <w:tab w:val="left" w:pos="492" w:leader="none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Организация турниров 01.0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</w:p>
          <w:p>
            <w:pPr>
              <w:pStyle w:val="733"/>
              <w:ind w:left="75"/>
              <w:jc w:val="both"/>
              <w:tabs>
                <w:tab w:val="left" w:pos="308" w:leader="none"/>
                <w:tab w:val="left" w:pos="492" w:leader="none"/>
              </w:tabs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79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ъемы и источники финансирования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814" w:type="dxa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Общая стоимость проекта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Запрашиваемый объем гранта в форме субсидии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руб.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63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Ожидаемые конечные результаты реализации программы проекта и показатели социально-экономической эффективности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6814" w:type="dxa"/>
            <w:textDirection w:val="lrTb"/>
            <w:noWrap w:val="false"/>
          </w:tcPr>
          <w:p>
            <w:pPr>
              <w:ind w:left="0"/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Количественные и качественные оценки ожидаемых результатов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  <w:p>
            <w:pPr>
              <w:ind w:left="0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В результате реализации данного проекта планируется достичь следующих результатов: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количественных: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  <w:p>
            <w:pPr>
              <w:numPr>
                <w:ilvl w:val="0"/>
                <w:numId w:val="18"/>
              </w:numPr>
              <w:ind w:left="345"/>
              <w:widowControl w:val="off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привлечение жителей Рамонского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муниципального района не менее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00 человек;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  <w:p>
            <w:pPr>
              <w:numPr>
                <w:ilvl w:val="0"/>
                <w:numId w:val="18"/>
              </w:numPr>
              <w:ind w:left="345"/>
              <w:widowControl w:val="off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привлечение жителей Рамонского муниципального района из числа социально незащищенных и нуждающихся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в адресной социальной помощи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ab/>
              <w:t xml:space="preserve"> (5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 человек);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  <w:p>
            <w:pPr>
              <w:ind w:left="345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  <w:t xml:space="preserve">качественных: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zh-CN"/>
              </w:rPr>
            </w:r>
          </w:p>
          <w:p>
            <w:pPr>
              <w:numPr>
                <w:ilvl w:val="0"/>
                <w:numId w:val="18"/>
              </w:numPr>
              <w:ind w:left="345"/>
              <w:widowControl w:val="off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укрепление сотрудничества между АНО «Спортивный клуб Рамони» и образовательными организациями различного вида и уровней Рамонского муниципального района в целях формирования у населения устойчивого интереса к занятиям физической культурой и спортом;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numPr>
                <w:ilvl w:val="0"/>
                <w:numId w:val="18"/>
              </w:numPr>
              <w:ind w:left="345"/>
              <w:widowControl w:val="off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физическое, 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ховное и социальное развитие подрастающего поколения, становлению ребят как личностей и их социализации. Реализация проекта положительно скажется на социализации детей, усилит их мотивацию больше времени и с пользой проводить на улице, а родители станут ак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тивными помощниками в этом начинании. Проект поможет решить проблему малоподвижного образа жизни среди взрослых и детей, а также заинтересовать каждого спортом и привлечь его в дальнейшем к систематическим занятиям каким-либо видом спорта или физкультурой.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r>
          </w:p>
        </w:tc>
      </w:tr>
    </w:tbl>
    <w:p>
      <w:pPr>
        <w:ind w:left="0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br w:type="page" w:clear="all"/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3. Содержание решаемой проблемы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8"/>
        <w:ind w:firstLine="708"/>
        <w:rPr>
          <w:highlight w:val="none"/>
        </w:rPr>
      </w:pPr>
      <w:r>
        <w:rPr>
          <w:color w:val="000000"/>
          <w:highlight w:val="none"/>
        </w:rPr>
        <w:t xml:space="preserve">Характеристика решаемой проблемы</w:t>
      </w:r>
      <w:r>
        <w:rPr>
          <w:highlight w:val="none"/>
        </w:rPr>
        <w:t xml:space="preserve">.</w:t>
      </w:r>
      <w:r>
        <w:rPr>
          <w:highlight w:val="none"/>
        </w:rPr>
        <w:t xml:space="preserve"> </w:t>
      </w:r>
      <w:r>
        <w:rPr>
          <w:highlight w:val="none"/>
          <w:shd w:val="clear" w:color="auto" w:fill="fdfbf5"/>
        </w:rPr>
        <w:t xml:space="preserve">Одной из главных проблем современной России является неуклонное ухудшение состояния здоровья детей и молодежи. Основной причиной такого положения является несформированность устойчивой мотивации, интереса к здоровому образу жизни и отсутствие не</w:t>
      </w:r>
      <w:r>
        <w:rPr>
          <w:highlight w:val="none"/>
          <w:shd w:val="clear" w:color="auto" w:fill="fdfbf5"/>
        </w:rPr>
        <w:t xml:space="preserve">обходимых материально-технических условий для организации занятий по физическому развитию в интересной форме. Еще одной приоритетной государственной задачей является повышение уровня патриотизма молодого поколения. Проект позволит создать комфортные услови</w:t>
      </w:r>
      <w:r>
        <w:rPr>
          <w:highlight w:val="none"/>
          <w:shd w:val="clear" w:color="auto" w:fill="fdfbf5"/>
        </w:rPr>
        <w:t xml:space="preserve">я для занятий детей спортом, позволит проводить дружеские турниры среди жителей Рамонского района. Вместе с тем, проект позволит организовать обучающие мастер-классы по правилам игры в системе подготовки детей к ним для инструкторов по физической культуре.</w:t>
      </w:r>
      <w:r>
        <w:rPr>
          <w:highlight w:val="none"/>
        </w:rPr>
      </w:r>
    </w:p>
    <w:p>
      <w:pPr>
        <w:pStyle w:val="748"/>
        <w:ind w:firstLine="708"/>
        <w:jc w:val="both"/>
        <w:rPr>
          <w:color w:val="000000"/>
        </w:rPr>
      </w:pPr>
      <w:r>
        <w:rPr>
          <w:color w:val="000000"/>
        </w:rPr>
        <w:t xml:space="preserve">Одновременно с </w:t>
      </w:r>
      <w:r>
        <w:rPr>
          <w:color w:val="000000"/>
        </w:rPr>
        <w:t xml:space="preserve">турнирами</w:t>
      </w:r>
      <w:r>
        <w:rPr>
          <w:color w:val="000000"/>
        </w:rPr>
        <w:t xml:space="preserve"> по различным видам спорта для детей и родителей будут организованы занятия физкультурой с любым уровнем физической подготовки. Стоит также отметить, что по данным, полученным от руководителей спо</w:t>
      </w:r>
      <w:r>
        <w:rPr>
          <w:color w:val="000000"/>
        </w:rPr>
        <w:t xml:space="preserve">ртивных школ, основная финансовая нагрузка ложится, как правило, на родителей спортсменов. Мероприятия проекта позволят исключить такую нагрузку и позволят участвовать в них детям из малообеспеченных семей и детям, оказавшимся в трудных жизненных условиях.</w:t>
      </w:r>
      <w:r>
        <w:rPr>
          <w:color w:val="000000"/>
        </w:rPr>
      </w:r>
    </w:p>
    <w:p>
      <w:pPr>
        <w:pStyle w:val="748"/>
        <w:jc w:val="both"/>
        <w:rPr>
          <w:color w:val="000000"/>
        </w:rPr>
      </w:pPr>
      <w:r>
        <w:rPr>
          <w:color w:val="000000"/>
        </w:rPr>
        <w:t xml:space="preserve">В целях посильного участия в вопросе необходимости заботы о сохранении и укреплении здоровья населения на территории Рамонского муниципального района Воронежской области Автономная некоммерческая организация «Спортивный клуб Рамони» предлагает проект «</w:t>
      </w:r>
      <w:r>
        <w:rPr>
          <w:color w:val="000000"/>
        </w:rPr>
        <w:t xml:space="preserve">Спорт </w:t>
      </w:r>
      <w:r>
        <w:rPr>
          <w:color w:val="000000"/>
        </w:rPr>
        <w:t xml:space="preserve">объединяет</w:t>
      </w:r>
      <w:r>
        <w:rPr>
          <w:color w:val="000000"/>
        </w:rPr>
        <w:t xml:space="preserve">!</w:t>
      </w:r>
      <w:r>
        <w:rPr>
          <w:color w:val="000000"/>
        </w:rPr>
        <w:t xml:space="preserve">», предполагающий активное вовлечение в спортивную жизнь жителей всех категорий граждан Рамонского муниципального района на бесплатной основе.</w:t>
      </w:r>
      <w:r>
        <w:rPr>
          <w:color w:val="000000"/>
        </w:rPr>
      </w:r>
    </w:p>
    <w:p>
      <w:pPr>
        <w:pStyle w:val="748"/>
        <w:jc w:val="both"/>
        <w:rPr>
          <w:color w:val="000000"/>
        </w:rPr>
      </w:pPr>
      <w:r>
        <w:rPr>
          <w:color w:val="000000"/>
        </w:rPr>
        <w:t xml:space="preserve">Проект от «Спортивного клуба Рамони» следует рассматривать как социально ориентированный, направленный на реализацию потребностей жителей Рамонского муниципального района Воронежской области в поддержании физического з</w:t>
      </w:r>
      <w:r>
        <w:rPr>
          <w:color w:val="000000"/>
        </w:rPr>
        <w:t xml:space="preserve">доровья</w:t>
      </w:r>
      <w:r>
        <w:rPr>
          <w:color w:val="000000"/>
        </w:rPr>
        <w:t xml:space="preserve">.</w:t>
      </w:r>
      <w:r>
        <w:rPr>
          <w:color w:val="000000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Обоснование соответствия проекта утвержденным приоритетным направлениям государственной поддержки социально ориентированных некоммерческих организаций.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Целесообразность и востребованность реализации предлагаемого проекта </w:t>
      </w:r>
      <w:r>
        <w:rPr>
          <w:color w:val="000000"/>
        </w:rPr>
        <w:t xml:space="preserve">«</w:t>
      </w:r>
      <w:r>
        <w:rPr>
          <w:color w:val="000000"/>
        </w:rPr>
        <w:t xml:space="preserve">Спорт объединяет!</w:t>
      </w:r>
      <w:r>
        <w:rPr>
          <w:color w:val="000000"/>
        </w:rPr>
        <w:t xml:space="preserve">»</w:t>
      </w:r>
      <w:r>
        <w:rPr>
          <w:color w:val="00000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обусловлена осознанием АНО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«Спортивный клуб Рамони»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еобходимость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участия в решении рассматриваемых выше стратегических задач по сохранению и укреплению здоровья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жителей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Рамонского муниципального района Воронежской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 организации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их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проду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ктивного досуговой деятельности в области дополнительного образования, профилактики и охраны здоровья граждан, пропаганды и формирования культуры и навыков здорового образа жизни, популяризации и дальнейшего развития массового спорта в Воронежской области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во исполнение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Постановления Правительства РФ от 21 января 2015 г. № 30 «О федеральной целевой программе «Развитие физической культуры и спорта в Российской Федерации на 2016-2020 годы», государственной программы Воронежской 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бласти «Развитие физической культуры и спорта» от 31 декабря 2013 года № 1202, Закона Воронежской области «О государственной (областной) поддержке социально ориентированных некоммерческих организаций в Воронежской области» от 06 октября 2011 года № 134-ОЗ.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4. Основные цели и задачи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проекта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Цели и задачи проекта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 w:firstLine="709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Цели проекта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numPr>
          <w:ilvl w:val="0"/>
          <w:numId w:val="24"/>
        </w:numPr>
        <w:ind w:left="0"/>
        <w:tabs>
          <w:tab w:val="left" w:pos="284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массовое привлечение детей и подростков с их родителями к занятиям физической культурой через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организацию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тренировочного процесса и активной среды для развития и популяризации здорового образа жизни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numPr>
          <w:ilvl w:val="0"/>
          <w:numId w:val="24"/>
        </w:numPr>
        <w:ind w:left="0"/>
        <w:tabs>
          <w:tab w:val="left" w:pos="284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содействие жителям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Рамонского муниципального района из числа социально уязвимых и нуждающихся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категорий населения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в дополнительной социальной помощи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организации их продуктивной досуговой деятельности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numPr>
          <w:ilvl w:val="0"/>
          <w:numId w:val="24"/>
        </w:numPr>
        <w:ind w:left="0"/>
        <w:tabs>
          <w:tab w:val="left" w:pos="284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омощь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в определении дальнейшей организации досуга детей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и подростков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numPr>
          <w:ilvl w:val="0"/>
          <w:numId w:val="24"/>
        </w:numPr>
        <w:ind w:left="0"/>
        <w:tabs>
          <w:tab w:val="left" w:pos="284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Создание условий для организации спортивного досуга и пропаганды здорового образа жизни, среди детей и взрослых в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Рамонском районе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tabs>
          <w:tab w:val="left" w:pos="284" w:leader="none"/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 w:firstLine="709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Задачи проекта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numPr>
          <w:ilvl w:val="0"/>
          <w:numId w:val="26"/>
        </w:numPr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организация тренировочного процесса для участников проекта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numPr>
          <w:ilvl w:val="0"/>
          <w:numId w:val="26"/>
        </w:numPr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формирование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комплексного представления о различных видах спорта у участников проекта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numPr>
          <w:ilvl w:val="0"/>
          <w:numId w:val="26"/>
        </w:numPr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развитие физической активности у детей и подростков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взрослых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учетом полученного опыта, базовых знаний и навыков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numPr>
          <w:ilvl w:val="0"/>
          <w:numId w:val="26"/>
        </w:numPr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Привлечение населения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к соревновательной деятельности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 с целью популяризации спорта у жителей Рамонского р-на.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numPr>
          <w:ilvl w:val="0"/>
          <w:numId w:val="26"/>
        </w:numPr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Создание условий для увеличения количества участников спортивных мероприятий.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numPr>
          <w:ilvl w:val="0"/>
          <w:numId w:val="26"/>
        </w:numPr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Укрепление здоровья и пропаганда здорового образа жизни.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numPr>
          <w:ilvl w:val="0"/>
          <w:numId w:val="26"/>
        </w:numPr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Организация и проведение интересных спортивных мероприятий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 w:firstLine="709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Целевые индикаторы и показатели комплексной оценки хода реализации проекта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Таблица 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right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Таблица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целевых индикаторов и показателей, позволяющих дать комплексную оценку ход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у реализации проекта в динамике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tbl>
      <w:tblPr>
        <w:tblW w:w="962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4812"/>
        <w:gridCol w:w="1457"/>
        <w:gridCol w:w="2770"/>
      </w:tblGrid>
      <w:tr>
        <w:tblPrEx/>
        <w:trPr>
          <w:trHeight w:val="1238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</w:tcBorders>
            <w:tcW w:w="582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</w:tcBorders>
            <w:tcW w:w="4812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целевых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показателей реализации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</w:tcBorders>
            <w:tcW w:w="1457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измерения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277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Значение индикатора по выбранным периодам реализации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440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582" w:type="dxa"/>
            <w:vAlign w:val="center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4812" w:type="dxa"/>
            <w:vAlign w:val="center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auto" w:sz="4" w:space="0"/>
            </w:tcBorders>
            <w:tcW w:w="1457" w:type="dxa"/>
            <w:vAlign w:val="center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277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881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4812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жителей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Рамонского муниципального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получивших услуги в сфере спорта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ел.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7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865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481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жителей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Рамонского муниципального района,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привлеченных к занятиям и тренировкам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ел.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7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598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481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Количество волонтеров, принявших участие в проекте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ел.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7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582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481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Количество организованных турниров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для спортсменов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7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481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Количество занятий на одной площадке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ас.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77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598"/>
        </w:trPr>
        <w:tc>
          <w:tcPr>
            <w:shd w:val="clear" w:color="auto" w:fill="auto"/>
            <w:tcBorders>
              <w:left w:val="single" w:color="000000" w:sz="8" w:space="0"/>
              <w:bottom w:val="single" w:color="auto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auto" w:sz="4" w:space="0"/>
            </w:tcBorders>
            <w:tcW w:w="481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Информация о проекте, размещенная в СМИ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auto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W w:w="277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59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2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Спортивные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0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</w:tbl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5. Описание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проекта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Реализация проекта заключается в проведении бесплатных спортивных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мероприятий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соревнований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занятий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населением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протяжении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месяцев на разных площадках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направлениям физ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ической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культуры (конкурсы и семейные эстафеты) и спорта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гандбол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дзюдо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плавание,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теннис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_GoBack"/>
      <w:r/>
      <w:bookmarkEnd w:id="1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легкая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атлетика, шахматы, борьба, бадминтон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волейбол,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арм спорт ,гимнастика, кибер спорт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среди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всех жителей Рамонского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0"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Реализацию прое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кта условно можно разделить на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части.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первом этапе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командой проекта будет проведена подготовительная работа по привлечению населения района к ознакомительной программе.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0"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втором этапе участникам будет предложено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погрузиться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соревновательный процесс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 реализации этого этапа будут организованы турниры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Планируемые мероприятия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numPr>
          <w:ilvl w:val="0"/>
          <w:numId w:val="5"/>
        </w:numPr>
        <w:ind w:left="0" w:firstLine="709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Информационная кампания для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населени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Рамонского муниципального района.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Анонс мероприятий по всем целевым группам путем личного контакта с представителями, а также приглашения в соц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иальных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сетях. Распространение рекламной информации.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Ходатайство о возможно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размещении на электронных ресурсах (сайтах) администрации, образовательных организаций, СМИ и печатных изданиях (газете «Голос Рамони» и пр.) Рамонского района ознакомительно-справочной информации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проект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numPr>
          <w:ilvl w:val="0"/>
          <w:numId w:val="5"/>
        </w:numPr>
        <w:ind w:left="0" w:firstLine="709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Набор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для участия в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проекте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Оформление базы документов для желающих принять участие в проекте. Необходимо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предоставить: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numPr>
          <w:ilvl w:val="0"/>
          <w:numId w:val="4"/>
        </w:numPr>
        <w:ind w:left="0" w:firstLine="709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заявление на имя директора АНО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«Спортивный клуб Рамони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» с просьбой 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зачислении в группу проекта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numPr>
          <w:ilvl w:val="0"/>
          <w:numId w:val="4"/>
        </w:numPr>
        <w:ind w:left="0" w:firstLine="709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медицинскую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справку установленного образца об отсутствии противопоказаний к занятиям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спортом;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numPr>
          <w:ilvl w:val="0"/>
          <w:numId w:val="4"/>
        </w:numPr>
        <w:ind w:left="0" w:firstLine="709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копии документ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ов с персональными данными.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numPr>
          <w:ilvl w:val="0"/>
          <w:numId w:val="5"/>
        </w:numPr>
        <w:ind w:left="0" w:firstLine="709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Заключ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договор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на оказание услуг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между АНО 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Спортивный клуб Рамони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» и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занимающимся.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Для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лиц,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зарегистрированн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ых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на территории Рамонского муниципального района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 находящихся в трудной жизненной ситуации – на безвозмездной основе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numPr>
          <w:ilvl w:val="0"/>
          <w:numId w:val="5"/>
        </w:numPr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Организация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турниров.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Организация турниров по видам спорта для спортсменов района и привлечение участников проекта.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П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ланируемы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ресурс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ы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и участник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и реализации проекта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Кадровые ресурсы: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сотрудники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инструкторы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-преподаватели АНО «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Спортивный клуб Рамони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 сотрудники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спортивных объектов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волонтеры.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Материально-технические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ресурсы: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физкультурно-оздоровительные комплексы, плавательный бассейн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залы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для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индивидуальных и групповых занятий.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Информационные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ресурсы: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подключение к сети Интернет для рассылки информации по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организациям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Рамонского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муниципального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района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размещение информации в СМИ Рамонского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муниципального района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 ходе реализации проекта и приглашении к сотрудничеству.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Участники реализации проекта: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numPr>
          <w:ilvl w:val="0"/>
          <w:numId w:val="8"/>
        </w:numPr>
        <w:ind w:left="0" w:firstLine="709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Жители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Рамонского муниципального района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 в том числе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из числа социально незащищенных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категорий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 нуждающихся в адресной социальной помощи.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numPr>
          <w:ilvl w:val="0"/>
          <w:numId w:val="8"/>
        </w:numPr>
        <w:ind w:left="0" w:firstLine="709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Инструкторы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-преподаватели АНО «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Спортивный клуб Рамони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».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numPr>
          <w:ilvl w:val="0"/>
          <w:numId w:val="8"/>
        </w:numPr>
        <w:ind w:left="0" w:firstLine="709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Сотрудники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спортивных объектов, задействованных в реализации проекта.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numPr>
          <w:ilvl w:val="0"/>
          <w:numId w:val="8"/>
        </w:numPr>
        <w:ind w:left="0" w:firstLine="709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Волонтеры.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6. Сроки и этапы реализации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проекта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left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Сроки реализации проекта: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/>
        <w:jc w:val="left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сентября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г.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30 июня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20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г.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/>
        <w:jc w:val="left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Этапы реализации проекта: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pStyle w:val="747"/>
        <w:numPr>
          <w:ilvl w:val="0"/>
          <w:numId w:val="19"/>
        </w:numPr>
        <w:ind w:left="0" w:firstLine="709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Организация встреч с населением и руководителями образовательных организаций Рамо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нского муниципального района: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сентября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30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сентября 202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 w:firstLine="709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  <w:t xml:space="preserve">Набор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участников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сентября 2024 – 30 сентября 2024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 w:firstLine="709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  <w:t xml:space="preserve">Организация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турниров по видам спорта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01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сентября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202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30 июня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20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г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).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zh-CN"/>
        </w:rPr>
      </w:r>
    </w:p>
    <w:p>
      <w:pPr>
        <w:ind w:left="0" w:firstLine="709"/>
        <w:widowControl w:val="off"/>
        <w:tabs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7. Смета программы (проекта)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Объемы и источники финансирования мероприятий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126"/>
        <w:gridCol w:w="2127"/>
        <w:gridCol w:w="1621"/>
      </w:tblGrid>
      <w:tr>
        <w:tblPrEx/>
        <w:trPr>
          <w:trHeight w:val="1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Направление расходования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финансирования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21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Сумма расходов, всего,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рублей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135"/>
        </w:trPr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За счет гранта в форме субсидии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За счет внебюджетных источников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621" w:type="dxa"/>
            <w:vAlign w:val="center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>
          <w:trHeight w:val="96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Оплата труда штатных работников,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частвующих в реализации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( в том числе НДФЛ)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руб</w:t>
            </w:r>
            <w:r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zh-C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900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руб.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Вознаграждения лицам, привлекаемым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срочному трудовому договору ( в том числе НДФЛ)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400 000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zh-C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400 000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Приобретение основных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: учебного и спортивного инвентаря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825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000руб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78 825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Приобретение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ноутбука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30 000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30 000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Приобретение наградной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и сувенирной продукции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для награждения спортсменов на турнирах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000руб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0 000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Оплата лицензии на электронную отчетность и продление программы 1С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21 000 руб.</w:t>
            </w:r>
            <w:r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21 000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Уплата налогов, сборов, страховых взносов и иных платежей в бюджетную систему РФ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/>
              </w:rPr>
              <w:t xml:space="preserve">210 275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/>
              </w:rPr>
              <w:t xml:space="preserve">210 275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руб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 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000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000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1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 580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000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7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</w:p>
        </w:tc>
      </w:tr>
    </w:tbl>
    <w:p>
      <w:pPr>
        <w:ind w:left="0"/>
        <w:jc w:val="center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8. Опыт НКО в реализации программ (проектов)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 w:firstLine="709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АНО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«Спортивный клуб Рамони»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была создана в целях популяризации и дальнейшего развития массового спо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рта в Воронежской области во исполнение государственной программы Воронежской области «Развитие физической культуры и спорта» от 31 декабря 2013 года № 1202, выбрав для себя главные направления деятельности – формирование здорового образа жизни, организаци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досуга и повышение спортивного мастерства подрастающих поколений.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  <w:t xml:space="preserve">Сотрудники организации имеют огромный опыт работы в спортивной сфере и на протяжении многих лет совместно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 другими социально-ориентированными организациями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реализуют программы на территории всей Воронежской области.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747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9. Оценка результативности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проекта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К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оличественные и качественн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ые оценки ожидаемых результатов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В результате реализации данного проекта планируется достичь следующих результатов: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количественных: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numPr>
          <w:ilvl w:val="0"/>
          <w:numId w:val="10"/>
        </w:numPr>
        <w:ind w:left="0" w:firstLine="709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привлечение жителей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Рамонского муниципал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ьного района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не менее 20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человек;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numPr>
          <w:ilvl w:val="0"/>
          <w:numId w:val="10"/>
        </w:numPr>
        <w:ind w:left="0" w:firstLine="709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привлечение жителей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Рамонского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муниципального района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из числа социально незащищенных и нуждающихся в адресной социальной помощи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(1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0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человек);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качественных: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numPr>
          <w:ilvl w:val="0"/>
          <w:numId w:val="10"/>
        </w:numPr>
        <w:ind w:left="0" w:firstLine="709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укрепление сотрудничества между АНО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«Спортивный клуб Рамони»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и образовательными организациями различного вида и уровней Рамонского муниципального района в целях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формировани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у населения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устойчивого интереса к занятиям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физической культурой и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спортом;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numPr>
          <w:ilvl w:val="0"/>
          <w:numId w:val="10"/>
        </w:numPr>
        <w:ind w:left="0" w:firstLine="709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физическо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духовно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социально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развити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подрастающего поколения, становлению ребят как личностей и их социализации.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Реализация проекта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положительно скаж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тся на социализации детей, усил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 их мотивацию больше времени и с пользой проводить на улице, а родители станут ак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тивными помощниками в этом начинании. Проект поможет решить проблему малоподвижного образа жизни среди взрослых и детей, а также заинтересовать каждого спортом и привлечь его в дальнейшем к систематическим занятиям каким-либо видом спорта или физкультурой.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709"/>
        <w:widowControl w:val="off"/>
        <w:tabs>
          <w:tab w:val="left" w:pos="993" w:leader="none"/>
        </w:tabs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бщая оценка вклада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проекта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в социально-экономическо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е, общественно-политическое,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культурное развитие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Рамонского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 xml:space="preserve"> муниципального района Воронежской области.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/>
        <w:jc w:val="center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r>
    </w:p>
    <w:p>
      <w:pPr>
        <w:ind w:left="0" w:firstLine="709"/>
        <w:widowControl w:val="off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 окончании реализации проекта планируется его дальнейшее продолжение за счет собственных средств, финан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совой поддержки партнеров и любых привлеченных ресурсов. Уже сейчас есть заинтересованные спонсоры, которые готовы помочь различными способами и дать возможность проекту развиваться. Материальную базу планируется сохранить с целью дальнейшего использования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506030602030204"/>
  </w:font>
  <w:font w:name="Courier New">
    <w:panose1 w:val="02070409020205020404"/>
  </w:font>
  <w:font w:name="AR PL SungtiL GB">
    <w:panose1 w:val="05040102010807070707"/>
  </w:font>
  <w:font w:name="Wingdings">
    <w:panose1 w:val="05010000000000000000"/>
  </w:font>
  <w:font w:name="Liberation Sans">
    <w:panose1 w:val="020B0604020202020204"/>
  </w:font>
  <w:font w:name="Times New Roman">
    <w:panose1 w:val="02020603050405020304"/>
  </w:font>
  <w:font w:name="Noto Sans Devanagari">
    <w:panose1 w:val="05040102010807070707"/>
  </w:font>
  <w:font w:name="font291">
    <w:panose1 w:val="050401020108070707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ind w:left="0"/>
      <w:jc w:val="center"/>
      <w:tabs>
        <w:tab w:val="clear" w:pos="4677" w:leader="none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6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5"/>
  </w:num>
  <w:num w:numId="5">
    <w:abstractNumId w:val="2"/>
  </w:num>
  <w:num w:numId="6">
    <w:abstractNumId w:val="11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19"/>
  </w:num>
  <w:num w:numId="15">
    <w:abstractNumId w:val="18"/>
  </w:num>
  <w:num w:numId="16">
    <w:abstractNumId w:val="1"/>
  </w:num>
  <w:num w:numId="17">
    <w:abstractNumId w:val="13"/>
  </w:num>
  <w:num w:numId="18">
    <w:abstractNumId w:val="23"/>
  </w:num>
  <w:num w:numId="19">
    <w:abstractNumId w:val="5"/>
  </w:num>
  <w:num w:numId="20">
    <w:abstractNumId w:val="17"/>
  </w:num>
  <w:num w:numId="21">
    <w:abstractNumId w:val="24"/>
  </w:num>
  <w:num w:numId="22">
    <w:abstractNumId w:val="21"/>
  </w:num>
  <w:num w:numId="23">
    <w:abstractNumId w:val="6"/>
  </w:num>
  <w:num w:numId="24">
    <w:abstractNumId w:val="16"/>
  </w:num>
  <w:num w:numId="25">
    <w:abstractNumId w:val="22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1"/>
    <w:next w:val="7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1"/>
    <w:next w:val="7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1"/>
    <w:next w:val="7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1"/>
    <w:next w:val="7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1"/>
    <w:next w:val="7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1"/>
    <w:next w:val="7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1"/>
    <w:next w:val="7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1"/>
    <w:next w:val="7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1"/>
    <w:next w:val="7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1"/>
    <w:next w:val="7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2"/>
    <w:link w:val="34"/>
    <w:uiPriority w:val="10"/>
    <w:rPr>
      <w:sz w:val="48"/>
      <w:szCs w:val="48"/>
    </w:rPr>
  </w:style>
  <w:style w:type="paragraph" w:styleId="36">
    <w:name w:val="Subtitle"/>
    <w:basedOn w:val="721"/>
    <w:next w:val="7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2"/>
    <w:link w:val="36"/>
    <w:uiPriority w:val="11"/>
    <w:rPr>
      <w:sz w:val="24"/>
      <w:szCs w:val="24"/>
    </w:rPr>
  </w:style>
  <w:style w:type="paragraph" w:styleId="38">
    <w:name w:val="Quote"/>
    <w:basedOn w:val="721"/>
    <w:next w:val="7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1"/>
    <w:next w:val="7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2"/>
    <w:link w:val="743"/>
    <w:uiPriority w:val="99"/>
  </w:style>
  <w:style w:type="character" w:styleId="45">
    <w:name w:val="Footer Char"/>
    <w:basedOn w:val="722"/>
    <w:link w:val="745"/>
    <w:uiPriority w:val="99"/>
  </w:style>
  <w:style w:type="character" w:styleId="47">
    <w:name w:val="Caption Char"/>
    <w:basedOn w:val="731"/>
    <w:link w:val="745"/>
    <w:uiPriority w:val="99"/>
  </w:style>
  <w:style w:type="table" w:styleId="48">
    <w:name w:val="Table Grid"/>
    <w:basedOn w:val="7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2"/>
    <w:uiPriority w:val="99"/>
    <w:unhideWhenUsed/>
    <w:rPr>
      <w:vertAlign w:val="superscript"/>
    </w:rPr>
  </w:style>
  <w:style w:type="paragraph" w:styleId="178">
    <w:name w:val="endnote text"/>
    <w:basedOn w:val="7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2"/>
    <w:uiPriority w:val="99"/>
    <w:semiHidden/>
    <w:unhideWhenUsed/>
    <w:rPr>
      <w:vertAlign w:val="superscript"/>
    </w:rPr>
  </w:style>
  <w:style w:type="paragraph" w:styleId="181">
    <w:name w:val="toc 1"/>
    <w:basedOn w:val="721"/>
    <w:next w:val="7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721" w:default="1">
    <w:name w:val="Normal"/>
    <w:qFormat/>
    <w:pPr>
      <w:ind w:left="5103"/>
      <w:jc w:val="both"/>
    </w:pPr>
    <w:rPr>
      <w:rFonts w:ascii="Calibri" w:hAnsi="Calibri" w:eastAsia="Calibri" w:cs="font291"/>
      <w:sz w:val="22"/>
      <w:szCs w:val="22"/>
      <w:lang w:eastAsia="en-US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Основной шрифт абзаца1"/>
  </w:style>
  <w:style w:type="character" w:styleId="726" w:customStyle="1">
    <w:name w:val="ListLabel 1"/>
    <w:rPr>
      <w:rFonts w:ascii="Times New Roman" w:hAnsi="Times New Roman" w:cs="Times New Roman"/>
      <w:color w:val="0000ff"/>
      <w:sz w:val="24"/>
      <w:szCs w:val="24"/>
    </w:rPr>
  </w:style>
  <w:style w:type="character" w:styleId="727">
    <w:name w:val="Hyperlink"/>
    <w:rPr>
      <w:color w:val="000080"/>
      <w:u w:val="single"/>
    </w:rPr>
  </w:style>
  <w:style w:type="paragraph" w:styleId="728" w:customStyle="1">
    <w:name w:val="Heading"/>
    <w:basedOn w:val="721"/>
    <w:next w:val="729"/>
    <w:pPr>
      <w:keepNext/>
      <w:spacing w:before="240" w:after="120"/>
    </w:pPr>
    <w:rPr>
      <w:rFonts w:ascii="Liberation Sans" w:hAnsi="Liberation Sans" w:eastAsia="AR PL SungtiL GB" w:cs="Noto Sans Devanagari"/>
      <w:sz w:val="28"/>
      <w:szCs w:val="28"/>
    </w:rPr>
  </w:style>
  <w:style w:type="paragraph" w:styleId="729">
    <w:name w:val="Body Text"/>
    <w:basedOn w:val="721"/>
    <w:pPr>
      <w:spacing w:after="140" w:line="276" w:lineRule="auto"/>
    </w:pPr>
  </w:style>
  <w:style w:type="paragraph" w:styleId="730">
    <w:name w:val="List"/>
    <w:basedOn w:val="729"/>
    <w:rPr>
      <w:rFonts w:cs="Noto Sans Devanagari"/>
    </w:rPr>
  </w:style>
  <w:style w:type="paragraph" w:styleId="731">
    <w:name w:val="Caption"/>
    <w:basedOn w:val="721"/>
    <w:qFormat/>
    <w:pPr>
      <w:spacing w:before="120" w:after="120"/>
      <w:suppressLineNumbers/>
    </w:pPr>
    <w:rPr>
      <w:rFonts w:cs="Noto Sans Devanagari"/>
      <w:i/>
      <w:iCs/>
      <w:sz w:val="24"/>
      <w:szCs w:val="24"/>
    </w:rPr>
  </w:style>
  <w:style w:type="paragraph" w:styleId="732" w:customStyle="1">
    <w:name w:val="Index"/>
    <w:basedOn w:val="721"/>
    <w:pPr>
      <w:suppressLineNumbers/>
    </w:pPr>
    <w:rPr>
      <w:rFonts w:cs="Noto Sans Devanagari"/>
    </w:rPr>
  </w:style>
  <w:style w:type="paragraph" w:styleId="733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73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73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736" w:customStyle="1">
    <w:name w:val="ConsPlusCell"/>
    <w:pPr>
      <w:widowControl w:val="off"/>
    </w:pPr>
    <w:rPr>
      <w:rFonts w:ascii="Courier New" w:hAnsi="Courier New" w:cs="Courier New"/>
    </w:rPr>
  </w:style>
  <w:style w:type="paragraph" w:styleId="737" w:customStyle="1">
    <w:name w:val="ConsPlusDocList"/>
    <w:pPr>
      <w:widowControl w:val="off"/>
    </w:pPr>
    <w:rPr>
      <w:rFonts w:ascii="Courier New" w:hAnsi="Courier New" w:cs="Courier New"/>
    </w:rPr>
  </w:style>
  <w:style w:type="paragraph" w:styleId="738" w:customStyle="1">
    <w:name w:val="ConsPlusTitlePage"/>
    <w:pPr>
      <w:widowControl w:val="off"/>
    </w:pPr>
    <w:rPr>
      <w:rFonts w:ascii="Tahoma" w:hAnsi="Tahoma" w:cs="Tahoma"/>
    </w:rPr>
  </w:style>
  <w:style w:type="paragraph" w:styleId="739" w:customStyle="1">
    <w:name w:val="ConsPlusJurTerm"/>
    <w:pPr>
      <w:widowControl w:val="off"/>
    </w:pPr>
    <w:rPr>
      <w:rFonts w:ascii="Tahoma" w:hAnsi="Tahoma" w:cs="Tahoma"/>
    </w:rPr>
  </w:style>
  <w:style w:type="paragraph" w:styleId="740" w:customStyle="1">
    <w:name w:val="ConsPlusTextList"/>
    <w:pPr>
      <w:widowControl w:val="off"/>
    </w:pPr>
    <w:rPr>
      <w:rFonts w:ascii="Arial" w:hAnsi="Arial" w:cs="Arial"/>
    </w:rPr>
  </w:style>
  <w:style w:type="paragraph" w:styleId="741">
    <w:name w:val="Balloon Text"/>
    <w:basedOn w:val="721"/>
    <w:link w:val="742"/>
    <w:uiPriority w:val="99"/>
    <w:semiHidden/>
    <w:unhideWhenUsed/>
    <w:rPr>
      <w:rFonts w:ascii="Tahoma" w:hAnsi="Tahoma" w:cs="Times New Roman"/>
      <w:sz w:val="16"/>
      <w:szCs w:val="16"/>
    </w:rPr>
  </w:style>
  <w:style w:type="character" w:styleId="742" w:customStyle="1">
    <w:name w:val="Текст выноски Знак"/>
    <w:link w:val="741"/>
    <w:uiPriority w:val="99"/>
    <w:semiHidden/>
    <w:rPr>
      <w:rFonts w:ascii="Tahoma" w:hAnsi="Tahoma" w:eastAsia="Calibri" w:cs="Tahoma"/>
      <w:sz w:val="16"/>
      <w:szCs w:val="16"/>
      <w:lang w:eastAsia="en-US"/>
    </w:rPr>
  </w:style>
  <w:style w:type="paragraph" w:styleId="743">
    <w:name w:val="Header"/>
    <w:basedOn w:val="721"/>
    <w:link w:val="744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744" w:customStyle="1">
    <w:name w:val="Верхний колонтитул Знак"/>
    <w:link w:val="743"/>
    <w:uiPriority w:val="99"/>
    <w:rPr>
      <w:rFonts w:ascii="Calibri" w:hAnsi="Calibri" w:eastAsia="Calibri" w:cs="font291"/>
      <w:sz w:val="22"/>
      <w:szCs w:val="22"/>
      <w:lang w:eastAsia="en-US"/>
    </w:rPr>
  </w:style>
  <w:style w:type="paragraph" w:styleId="745">
    <w:name w:val="Footer"/>
    <w:basedOn w:val="721"/>
    <w:link w:val="746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746" w:customStyle="1">
    <w:name w:val="Нижний колонтитул Знак"/>
    <w:link w:val="745"/>
    <w:uiPriority w:val="99"/>
    <w:rPr>
      <w:rFonts w:ascii="Calibri" w:hAnsi="Calibri" w:eastAsia="Calibri" w:cs="font291"/>
      <w:sz w:val="22"/>
      <w:szCs w:val="22"/>
      <w:lang w:eastAsia="en-US"/>
    </w:rPr>
  </w:style>
  <w:style w:type="paragraph" w:styleId="747">
    <w:name w:val="List Paragraph"/>
    <w:basedOn w:val="721"/>
    <w:uiPriority w:val="34"/>
    <w:qFormat/>
    <w:pPr>
      <w:contextualSpacing/>
      <w:ind w:left="720"/>
    </w:pPr>
  </w:style>
  <w:style w:type="paragraph" w:styleId="748">
    <w:name w:val="Normal (Web)"/>
    <w:basedOn w:val="721"/>
    <w:uiPriority w:val="99"/>
    <w:unhideWhenUsed/>
    <w:pPr>
      <w:ind w:left="0"/>
      <w:jc w:val="left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D190-C187-4A4C-9FB0-A0C79BC2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gv_dombrovskaja</dc:creator>
  <cp:lastModifiedBy>елена Ильина</cp:lastModifiedBy>
  <cp:revision>12</cp:revision>
  <dcterms:created xsi:type="dcterms:W3CDTF">2023-06-06T07:25:00Z</dcterms:created>
  <dcterms:modified xsi:type="dcterms:W3CDTF">2024-08-25T21:00:00Z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0.000000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